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0825D" w14:textId="5DE130C9" w:rsidR="00841D4C" w:rsidRDefault="00D066C3" w:rsidP="0081139C">
      <w:pPr>
        <w:jc w:val="both"/>
        <w:outlineLvl w:val="0"/>
        <w:rPr>
          <w:rFonts w:ascii="Garamond" w:hAnsi="Garamond"/>
          <w:b/>
          <w:sz w:val="28"/>
          <w:szCs w:val="28"/>
          <w:lang w:val="fr-FR"/>
        </w:rPr>
      </w:pPr>
      <w:r w:rsidRPr="004949C5">
        <w:rPr>
          <w:rFonts w:ascii="Garamond" w:hAnsi="Garamond"/>
          <w:b/>
          <w:sz w:val="28"/>
          <w:szCs w:val="28"/>
          <w:lang w:val="fr-FR"/>
        </w:rPr>
        <w:t>L’exception</w:t>
      </w:r>
    </w:p>
    <w:p w14:paraId="49B4CFD6" w14:textId="77777777" w:rsidR="00E712B6" w:rsidRPr="00DC094D" w:rsidRDefault="00E712B6" w:rsidP="00D066C3">
      <w:pPr>
        <w:jc w:val="both"/>
        <w:rPr>
          <w:rFonts w:ascii="Garamond" w:hAnsi="Garamond"/>
          <w:b/>
          <w:sz w:val="28"/>
          <w:szCs w:val="28"/>
          <w:lang w:val="fr-FR"/>
        </w:rPr>
      </w:pPr>
    </w:p>
    <w:p w14:paraId="2F8851C6" w14:textId="77777777" w:rsidR="0008220A" w:rsidRDefault="0008220A" w:rsidP="00DC78F8">
      <w:pPr>
        <w:jc w:val="both"/>
        <w:rPr>
          <w:rFonts w:ascii="Garamond" w:hAnsi="Garamond"/>
          <w:i/>
          <w:sz w:val="28"/>
          <w:szCs w:val="28"/>
          <w:lang w:val="fr-FR"/>
        </w:rPr>
      </w:pPr>
    </w:p>
    <w:p w14:paraId="0F2D9012" w14:textId="02580F60" w:rsidR="0008220A" w:rsidRPr="00E712B6" w:rsidRDefault="0008220A" w:rsidP="0081139C">
      <w:pPr>
        <w:pBdr>
          <w:top w:val="single" w:sz="4" w:space="1" w:color="auto"/>
          <w:left w:val="single" w:sz="4" w:space="4" w:color="auto"/>
          <w:bottom w:val="single" w:sz="4" w:space="1" w:color="auto"/>
          <w:right w:val="single" w:sz="4" w:space="4" w:color="auto"/>
        </w:pBdr>
        <w:jc w:val="both"/>
        <w:rPr>
          <w:rFonts w:ascii="Garamond" w:hAnsi="Garamond"/>
          <w:i/>
          <w:sz w:val="28"/>
          <w:szCs w:val="28"/>
          <w:lang w:val="fr-FR"/>
        </w:rPr>
      </w:pPr>
      <w:r w:rsidRPr="00E712B6">
        <w:rPr>
          <w:rFonts w:ascii="Garamond" w:hAnsi="Garamond"/>
          <w:i/>
          <w:sz w:val="28"/>
          <w:szCs w:val="28"/>
          <w:lang w:val="fr-FR"/>
        </w:rPr>
        <w:t>L’exception s’envisage communément dans son rapport à la règle, mais ce rapport dialectique présente en réalité une pluralité de problématiques : l’exception devient exclusion lorsqu’elle est pensée comme écart par rapport à des schémas de pensée dominants et échappe aux classifications, au canon et à l’Establishment. Mais l’exception est aussi le terreau de l’impensable, de l’excentrique et du transgressif, annonciatrice de renouveau et de redistribution. Lorsque le substantif se transforme en adjectif, l’exception adopte même une valence positive : être exceptionnel c’est se situer au-delà des normes en vigueur. S’interroger sur l’exception reviendrait alors à s’interroger sur la différence de manière non taxinomique et non comparative.</w:t>
      </w:r>
      <w:r w:rsidR="0081139C">
        <w:rPr>
          <w:rFonts w:ascii="Garamond" w:hAnsi="Garamond"/>
          <w:i/>
          <w:sz w:val="28"/>
          <w:szCs w:val="28"/>
          <w:lang w:val="fr-FR"/>
        </w:rPr>
        <w:t xml:space="preserve"> </w:t>
      </w:r>
      <w:r w:rsidRPr="00E712B6">
        <w:rPr>
          <w:rFonts w:ascii="Garamond" w:hAnsi="Garamond"/>
          <w:i/>
          <w:sz w:val="28"/>
          <w:szCs w:val="28"/>
          <w:lang w:val="fr-FR"/>
        </w:rPr>
        <w:t xml:space="preserve">Ce sont donc toutes ces valeurs et implications de la notion d’exception, et d’autres, que nous espérons voir illustrées dans les différents ateliers. </w:t>
      </w:r>
    </w:p>
    <w:p w14:paraId="1BB5F5D8" w14:textId="77777777" w:rsidR="0008220A" w:rsidRPr="0008220A" w:rsidRDefault="0008220A" w:rsidP="00DC78F8">
      <w:pPr>
        <w:jc w:val="both"/>
        <w:rPr>
          <w:rFonts w:ascii="Garamond" w:hAnsi="Garamond"/>
          <w:i/>
          <w:color w:val="3366FF"/>
          <w:sz w:val="28"/>
          <w:szCs w:val="28"/>
          <w:lang w:val="fr-FR"/>
        </w:rPr>
      </w:pPr>
    </w:p>
    <w:p w14:paraId="31FCADF9" w14:textId="77777777" w:rsidR="0008220A" w:rsidRDefault="0008220A" w:rsidP="00DC78F8">
      <w:pPr>
        <w:jc w:val="both"/>
        <w:rPr>
          <w:rFonts w:ascii="Garamond" w:hAnsi="Garamond"/>
          <w:i/>
          <w:sz w:val="28"/>
          <w:szCs w:val="28"/>
          <w:lang w:val="fr-FR"/>
        </w:rPr>
      </w:pPr>
    </w:p>
    <w:p w14:paraId="45AAEF97" w14:textId="77777777" w:rsidR="0008220A" w:rsidRPr="001F106A" w:rsidRDefault="0008220A" w:rsidP="00DC78F8">
      <w:pPr>
        <w:jc w:val="both"/>
        <w:rPr>
          <w:rFonts w:ascii="Garamond" w:hAnsi="Garamond"/>
          <w:i/>
          <w:sz w:val="28"/>
          <w:szCs w:val="28"/>
          <w:lang w:val="fr-FR"/>
        </w:rPr>
      </w:pPr>
    </w:p>
    <w:p w14:paraId="32F3BB7F" w14:textId="27395792" w:rsidR="00017632" w:rsidRPr="00017632" w:rsidRDefault="00017632" w:rsidP="00EF3DA8">
      <w:pPr>
        <w:jc w:val="both"/>
        <w:rPr>
          <w:rFonts w:ascii="Garamond" w:hAnsi="Garamond"/>
          <w:strike/>
          <w:color w:val="FF0000"/>
          <w:sz w:val="28"/>
          <w:szCs w:val="28"/>
          <w:lang w:val="fr-FR"/>
        </w:rPr>
      </w:pPr>
    </w:p>
    <w:p w14:paraId="3FBCA61E" w14:textId="51CCB773" w:rsidR="00100897" w:rsidRPr="00BC325C" w:rsidRDefault="00017632" w:rsidP="00DC78F8">
      <w:pPr>
        <w:ind w:firstLine="708"/>
        <w:jc w:val="both"/>
        <w:rPr>
          <w:rFonts w:ascii="Garamond" w:hAnsi="Garamond"/>
          <w:color w:val="FF0000"/>
          <w:sz w:val="28"/>
          <w:szCs w:val="28"/>
          <w:lang w:val="fr-FR"/>
        </w:rPr>
      </w:pPr>
      <w:r w:rsidRPr="001F106A">
        <w:rPr>
          <w:rFonts w:ascii="Garamond" w:hAnsi="Garamond" w:cs="Calibri"/>
          <w:color w:val="000000" w:themeColor="text1"/>
          <w:sz w:val="28"/>
          <w:szCs w:val="28"/>
          <w:lang w:val="fr-FR"/>
        </w:rPr>
        <w:t>On imagine sans doute de manière immédiate l’exception dans son rapport à la règle, suivant en cela cette sentence bien con</w:t>
      </w:r>
      <w:r w:rsidR="0081139C">
        <w:rPr>
          <w:rFonts w:ascii="Garamond" w:hAnsi="Garamond" w:cs="Calibri"/>
          <w:color w:val="000000" w:themeColor="text1"/>
          <w:sz w:val="28"/>
          <w:szCs w:val="28"/>
          <w:lang w:val="fr-FR"/>
        </w:rPr>
        <w:t>nue mais souvent mal conçue : l’exception confirme la règle. </w:t>
      </w:r>
      <w:r w:rsidRPr="001F106A">
        <w:rPr>
          <w:rFonts w:ascii="Garamond" w:hAnsi="Garamond" w:cs="Calibri"/>
          <w:color w:val="000000" w:themeColor="text1"/>
          <w:sz w:val="28"/>
          <w:szCs w:val="28"/>
          <w:lang w:val="fr-FR"/>
        </w:rPr>
        <w:t>Si l’expression tirée du droit latin (</w:t>
      </w:r>
      <w:r w:rsidRPr="001F106A">
        <w:rPr>
          <w:rFonts w:ascii="Garamond" w:hAnsi="Garamond" w:cs="Calibri"/>
          <w:i/>
          <w:iCs/>
          <w:color w:val="000000" w:themeColor="text1"/>
          <w:sz w:val="28"/>
          <w:szCs w:val="28"/>
          <w:lang w:val="fr-FR"/>
        </w:rPr>
        <w:t>Exceptio probat regulam in casibus non exceptis</w:t>
      </w:r>
      <w:r w:rsidRPr="001F106A">
        <w:rPr>
          <w:rFonts w:ascii="Garamond" w:hAnsi="Garamond" w:cs="Calibri"/>
          <w:color w:val="000000" w:themeColor="text1"/>
          <w:sz w:val="28"/>
          <w:szCs w:val="28"/>
          <w:lang w:val="fr-FR"/>
        </w:rPr>
        <w:t>) conçoit l’exception comme impliquant la</w:t>
      </w:r>
      <w:r w:rsidRPr="001F106A">
        <w:rPr>
          <w:rFonts w:ascii="Garamond" w:hAnsi="Garamond" w:cs="Calibri"/>
          <w:i/>
          <w:iCs/>
          <w:color w:val="000000" w:themeColor="text1"/>
          <w:sz w:val="28"/>
          <w:szCs w:val="28"/>
          <w:lang w:val="fr-FR"/>
        </w:rPr>
        <w:t> présence </w:t>
      </w:r>
      <w:r w:rsidRPr="001F106A">
        <w:rPr>
          <w:rFonts w:ascii="Garamond" w:hAnsi="Garamond" w:cs="Calibri"/>
          <w:color w:val="000000" w:themeColor="text1"/>
          <w:sz w:val="28"/>
          <w:szCs w:val="28"/>
          <w:lang w:val="fr-FR"/>
        </w:rPr>
        <w:t>de la règle (on ne pourrait parler d’exce</w:t>
      </w:r>
      <w:r w:rsidR="0022456C" w:rsidRPr="001F106A">
        <w:rPr>
          <w:rFonts w:ascii="Garamond" w:hAnsi="Garamond" w:cs="Calibri"/>
          <w:color w:val="000000" w:themeColor="text1"/>
          <w:sz w:val="28"/>
          <w:szCs w:val="28"/>
          <w:lang w:val="fr-FR"/>
        </w:rPr>
        <w:t xml:space="preserve">ption en l’absence de règle), </w:t>
      </w:r>
      <w:r w:rsidRPr="001F106A">
        <w:rPr>
          <w:rFonts w:ascii="Garamond" w:hAnsi="Garamond" w:cs="Calibri"/>
          <w:color w:val="000000" w:themeColor="text1"/>
          <w:sz w:val="28"/>
          <w:szCs w:val="28"/>
          <w:lang w:val="fr-FR"/>
        </w:rPr>
        <w:t>on l’emploie souvent en un sens sensiblement différent : l’exception est prise pour gage de validité de la règle.</w:t>
      </w:r>
      <w:r w:rsidR="0081139C">
        <w:rPr>
          <w:rFonts w:ascii="Garamond" w:hAnsi="Garamond" w:cs="Calibri"/>
          <w:color w:val="000000" w:themeColor="text1"/>
          <w:sz w:val="28"/>
          <w:szCs w:val="28"/>
          <w:lang w:val="fr-FR"/>
        </w:rPr>
        <w:t xml:space="preserve"> </w:t>
      </w:r>
      <w:r w:rsidR="00A01F89" w:rsidRPr="00017632">
        <w:rPr>
          <w:rFonts w:ascii="Garamond" w:hAnsi="Garamond"/>
          <w:sz w:val="28"/>
          <w:szCs w:val="28"/>
          <w:lang w:val="fr-FR"/>
        </w:rPr>
        <w:t>L’exception se conçoit donc de façon sensiblement différente</w:t>
      </w:r>
      <w:r w:rsidR="00D066C3" w:rsidRPr="00017632">
        <w:rPr>
          <w:rFonts w:ascii="Garamond" w:hAnsi="Garamond"/>
          <w:sz w:val="28"/>
          <w:szCs w:val="28"/>
          <w:lang w:val="fr-FR"/>
        </w:rPr>
        <w:t xml:space="preserve"> en droit et </w:t>
      </w:r>
      <w:r w:rsidR="00A01F89" w:rsidRPr="00017632">
        <w:rPr>
          <w:rFonts w:ascii="Garamond" w:hAnsi="Garamond"/>
          <w:sz w:val="28"/>
          <w:szCs w:val="28"/>
          <w:lang w:val="fr-FR"/>
        </w:rPr>
        <w:t>dans l’usage</w:t>
      </w:r>
      <w:r w:rsidR="00A01F89" w:rsidRPr="004949C5">
        <w:rPr>
          <w:rFonts w:ascii="Garamond" w:hAnsi="Garamond"/>
          <w:sz w:val="28"/>
          <w:szCs w:val="28"/>
          <w:lang w:val="fr-FR"/>
        </w:rPr>
        <w:t xml:space="preserve"> commun : elle</w:t>
      </w:r>
      <w:r w:rsidR="00D066C3" w:rsidRPr="004949C5">
        <w:rPr>
          <w:rFonts w:ascii="Garamond" w:hAnsi="Garamond"/>
          <w:sz w:val="28"/>
          <w:szCs w:val="28"/>
          <w:lang w:val="fr-FR"/>
        </w:rPr>
        <w:t xml:space="preserve"> met à l’épreuve la règle en la testant d’un côté et </w:t>
      </w:r>
      <w:r w:rsidR="00A01F89" w:rsidRPr="004949C5">
        <w:rPr>
          <w:rFonts w:ascii="Garamond" w:hAnsi="Garamond"/>
          <w:sz w:val="28"/>
          <w:szCs w:val="28"/>
          <w:lang w:val="fr-FR"/>
        </w:rPr>
        <w:t>elle</w:t>
      </w:r>
      <w:r w:rsidR="00D066C3" w:rsidRPr="004949C5">
        <w:rPr>
          <w:rFonts w:ascii="Garamond" w:hAnsi="Garamond"/>
          <w:sz w:val="28"/>
          <w:szCs w:val="28"/>
          <w:lang w:val="fr-FR"/>
        </w:rPr>
        <w:t xml:space="preserve"> en confirme l’hégé</w:t>
      </w:r>
      <w:r w:rsidR="00EE4B34" w:rsidRPr="004949C5">
        <w:rPr>
          <w:rFonts w:ascii="Garamond" w:hAnsi="Garamond"/>
          <w:sz w:val="28"/>
          <w:szCs w:val="28"/>
          <w:lang w:val="fr-FR"/>
        </w:rPr>
        <w:t>monie ou l’autorité de l’autre.</w:t>
      </w:r>
      <w:r w:rsidR="00DC094D">
        <w:rPr>
          <w:rFonts w:ascii="Garamond" w:hAnsi="Garamond"/>
          <w:sz w:val="28"/>
          <w:szCs w:val="28"/>
          <w:lang w:val="fr-FR"/>
        </w:rPr>
        <w:t xml:space="preserve"> </w:t>
      </w:r>
      <w:r w:rsidR="00100897" w:rsidRPr="004949C5">
        <w:rPr>
          <w:rFonts w:ascii="Garamond" w:hAnsi="Garamond"/>
          <w:sz w:val="28"/>
          <w:szCs w:val="28"/>
          <w:lang w:val="fr-FR"/>
        </w:rPr>
        <w:t>C’est ainsi que l’exception est fréquemment évoquée en contexte juridique</w:t>
      </w:r>
      <w:r w:rsidR="00DE5C22" w:rsidRPr="004949C5">
        <w:rPr>
          <w:rFonts w:ascii="Garamond" w:hAnsi="Garamond"/>
          <w:sz w:val="28"/>
          <w:szCs w:val="28"/>
          <w:lang w:val="fr-FR"/>
        </w:rPr>
        <w:t xml:space="preserve"> et </w:t>
      </w:r>
      <w:r w:rsidR="009006B4" w:rsidRPr="004949C5">
        <w:rPr>
          <w:rFonts w:ascii="Garamond" w:hAnsi="Garamond"/>
          <w:sz w:val="28"/>
          <w:szCs w:val="28"/>
          <w:lang w:val="fr-FR"/>
        </w:rPr>
        <w:t>en droits</w:t>
      </w:r>
      <w:r w:rsidR="003722B8" w:rsidRPr="004949C5">
        <w:rPr>
          <w:rFonts w:ascii="Garamond" w:hAnsi="Garamond"/>
          <w:sz w:val="28"/>
          <w:szCs w:val="28"/>
          <w:lang w:val="fr-FR"/>
        </w:rPr>
        <w:t xml:space="preserve"> des E</w:t>
      </w:r>
      <w:r w:rsidR="00DE5C22" w:rsidRPr="004949C5">
        <w:rPr>
          <w:rFonts w:ascii="Garamond" w:hAnsi="Garamond"/>
          <w:sz w:val="28"/>
          <w:szCs w:val="28"/>
          <w:lang w:val="fr-FR"/>
        </w:rPr>
        <w:t>tats</w:t>
      </w:r>
      <w:r w:rsidR="00100897" w:rsidRPr="004949C5">
        <w:rPr>
          <w:rFonts w:ascii="Garamond" w:hAnsi="Garamond"/>
          <w:sz w:val="28"/>
          <w:szCs w:val="28"/>
          <w:lang w:val="fr-FR"/>
        </w:rPr>
        <w:t xml:space="preserve">, par exemple pour interroger </w:t>
      </w:r>
      <w:r w:rsidR="00DE5C22" w:rsidRPr="004949C5">
        <w:rPr>
          <w:rFonts w:ascii="Garamond" w:hAnsi="Garamond"/>
          <w:sz w:val="28"/>
          <w:szCs w:val="28"/>
          <w:lang w:val="fr-FR"/>
        </w:rPr>
        <w:t>l’</w:t>
      </w:r>
      <w:r w:rsidR="004617A8" w:rsidRPr="004949C5">
        <w:rPr>
          <w:rFonts w:ascii="Garamond" w:hAnsi="Garamond"/>
          <w:sz w:val="28"/>
          <w:szCs w:val="28"/>
          <w:lang w:val="fr-FR"/>
        </w:rPr>
        <w:t>état d’</w:t>
      </w:r>
      <w:r w:rsidR="00100897" w:rsidRPr="004949C5">
        <w:rPr>
          <w:rFonts w:ascii="Garamond" w:hAnsi="Garamond"/>
          <w:sz w:val="28"/>
          <w:szCs w:val="28"/>
          <w:lang w:val="fr-FR"/>
        </w:rPr>
        <w:t xml:space="preserve">exception post </w:t>
      </w:r>
      <w:r w:rsidR="00100897" w:rsidRPr="004949C5">
        <w:rPr>
          <w:rFonts w:ascii="Garamond" w:hAnsi="Garamond"/>
          <w:i/>
          <w:sz w:val="28"/>
          <w:szCs w:val="28"/>
          <w:lang w:val="fr-FR"/>
        </w:rPr>
        <w:t>9/11</w:t>
      </w:r>
      <w:r w:rsidR="00100897" w:rsidRPr="004949C5">
        <w:rPr>
          <w:rFonts w:ascii="Garamond" w:hAnsi="Garamond"/>
          <w:sz w:val="28"/>
          <w:szCs w:val="28"/>
          <w:lang w:val="fr-FR"/>
        </w:rPr>
        <w:t xml:space="preserve"> (le </w:t>
      </w:r>
      <w:r w:rsidR="00100897" w:rsidRPr="004949C5">
        <w:rPr>
          <w:rStyle w:val="Emphase"/>
          <w:rFonts w:ascii="Garamond" w:hAnsi="Garamond"/>
          <w:sz w:val="28"/>
          <w:szCs w:val="28"/>
          <w:lang w:val="fr-FR"/>
        </w:rPr>
        <w:t>Patriot Act</w:t>
      </w:r>
      <w:r w:rsidR="00100897" w:rsidRPr="004949C5">
        <w:rPr>
          <w:rFonts w:ascii="Garamond" w:hAnsi="Garamond"/>
          <w:sz w:val="28"/>
          <w:szCs w:val="28"/>
          <w:lang w:val="fr-FR"/>
        </w:rPr>
        <w:t xml:space="preserve"> de George W. Bush ou</w:t>
      </w:r>
      <w:r w:rsidR="003722B8" w:rsidRPr="004949C5">
        <w:rPr>
          <w:rFonts w:ascii="Garamond" w:hAnsi="Garamond"/>
          <w:sz w:val="28"/>
          <w:szCs w:val="28"/>
          <w:lang w:val="fr-FR"/>
        </w:rPr>
        <w:t xml:space="preserve"> Guantanamo Bay [Hussain 2007]) aux Etats-Unis tandis qu’en Europe c’est dans l’espace anglophone que se sont concentrées les clauses d’exception (</w:t>
      </w:r>
      <w:r w:rsidR="003722B8" w:rsidRPr="004949C5">
        <w:rPr>
          <w:rStyle w:val="Emphase"/>
          <w:rFonts w:ascii="Garamond" w:hAnsi="Garamond"/>
          <w:sz w:val="28"/>
          <w:szCs w:val="28"/>
          <w:lang w:val="fr-FR"/>
        </w:rPr>
        <w:t>opt-out clauses</w:t>
      </w:r>
      <w:r w:rsidR="003722B8" w:rsidRPr="004949C5">
        <w:rPr>
          <w:rFonts w:ascii="Garamond" w:hAnsi="Garamond"/>
          <w:sz w:val="28"/>
          <w:szCs w:val="28"/>
          <w:lang w:val="fr-FR"/>
        </w:rPr>
        <w:t>) aux normes de l’Union européenne avant que ne survienne avec fracas le Brexit</w:t>
      </w:r>
      <w:r w:rsidR="009952BF" w:rsidRPr="004949C5">
        <w:rPr>
          <w:rFonts w:ascii="Garamond" w:hAnsi="Garamond"/>
          <w:sz w:val="28"/>
          <w:szCs w:val="28"/>
          <w:lang w:val="fr-FR"/>
        </w:rPr>
        <w:t>, jugé</w:t>
      </w:r>
      <w:r w:rsidR="003722B8" w:rsidRPr="004949C5">
        <w:rPr>
          <w:rFonts w:ascii="Garamond" w:hAnsi="Garamond"/>
          <w:sz w:val="28"/>
          <w:szCs w:val="28"/>
          <w:lang w:val="fr-FR"/>
        </w:rPr>
        <w:t xml:space="preserve"> par certains l’avatar le plus récent et spectaculaire de l’exceptionnalisme britannique</w:t>
      </w:r>
      <w:r w:rsidR="009006B4" w:rsidRPr="004949C5">
        <w:rPr>
          <w:rFonts w:ascii="Garamond" w:hAnsi="Garamond"/>
          <w:sz w:val="28"/>
          <w:szCs w:val="28"/>
          <w:lang w:val="fr-FR"/>
        </w:rPr>
        <w:t>.</w:t>
      </w:r>
    </w:p>
    <w:p w14:paraId="490BA8CC" w14:textId="344586BE" w:rsidR="00D066C3" w:rsidRPr="004949C5" w:rsidRDefault="00EE4B34" w:rsidP="00EF3DA8">
      <w:pPr>
        <w:jc w:val="both"/>
        <w:rPr>
          <w:rFonts w:ascii="Garamond" w:hAnsi="Garamond"/>
          <w:sz w:val="28"/>
          <w:szCs w:val="28"/>
          <w:lang w:val="fr-FR"/>
        </w:rPr>
      </w:pPr>
      <w:r w:rsidRPr="004949C5">
        <w:rPr>
          <w:rFonts w:ascii="Garamond" w:hAnsi="Garamond"/>
          <w:sz w:val="28"/>
          <w:szCs w:val="28"/>
          <w:lang w:val="fr-FR"/>
        </w:rPr>
        <w:tab/>
      </w:r>
      <w:r w:rsidR="00D066C3" w:rsidRPr="004949C5">
        <w:rPr>
          <w:rFonts w:ascii="Garamond" w:hAnsi="Garamond"/>
          <w:sz w:val="28"/>
          <w:szCs w:val="28"/>
          <w:lang w:val="fr-FR"/>
        </w:rPr>
        <w:t>Emerge de cette dualité ce qu’on pourrait appeler le paradoxe de l’exception, l’exception se concevant soit comme opposition à la règle qui la confine dès lors au statut d’intrus ou bien comme porteuse en creux des formes en devenir. En toile de fo</w:t>
      </w:r>
      <w:r w:rsidR="00D534BB" w:rsidRPr="004949C5">
        <w:rPr>
          <w:rFonts w:ascii="Garamond" w:hAnsi="Garamond"/>
          <w:sz w:val="28"/>
          <w:szCs w:val="28"/>
          <w:lang w:val="fr-FR"/>
        </w:rPr>
        <w:t>nd de cette dualité se trouvent les</w:t>
      </w:r>
      <w:r w:rsidR="00D066C3" w:rsidRPr="004949C5">
        <w:rPr>
          <w:rFonts w:ascii="Garamond" w:hAnsi="Garamond"/>
          <w:sz w:val="28"/>
          <w:szCs w:val="28"/>
          <w:lang w:val="fr-FR"/>
        </w:rPr>
        <w:t xml:space="preserve"> notion</w:t>
      </w:r>
      <w:r w:rsidR="00D534BB" w:rsidRPr="004949C5">
        <w:rPr>
          <w:rFonts w:ascii="Garamond" w:hAnsi="Garamond"/>
          <w:sz w:val="28"/>
          <w:szCs w:val="28"/>
          <w:lang w:val="fr-FR"/>
        </w:rPr>
        <w:t>s de</w:t>
      </w:r>
      <w:r w:rsidR="00D066C3" w:rsidRPr="004949C5">
        <w:rPr>
          <w:rFonts w:ascii="Garamond" w:hAnsi="Garamond"/>
          <w:sz w:val="28"/>
          <w:szCs w:val="28"/>
          <w:lang w:val="fr-FR"/>
        </w:rPr>
        <w:t xml:space="preserve"> classement et de classification</w:t>
      </w:r>
      <w:r w:rsidR="009039F1" w:rsidRPr="004949C5">
        <w:rPr>
          <w:rFonts w:ascii="Garamond" w:hAnsi="Garamond"/>
          <w:sz w:val="28"/>
          <w:szCs w:val="28"/>
          <w:lang w:val="fr-FR"/>
        </w:rPr>
        <w:t xml:space="preserve"> et </w:t>
      </w:r>
      <w:r w:rsidR="00D534BB" w:rsidRPr="004949C5">
        <w:rPr>
          <w:rFonts w:ascii="Garamond" w:hAnsi="Garamond"/>
          <w:sz w:val="28"/>
          <w:szCs w:val="28"/>
          <w:lang w:val="fr-FR"/>
        </w:rPr>
        <w:t>leurs</w:t>
      </w:r>
      <w:r w:rsidR="009039F1" w:rsidRPr="004949C5">
        <w:rPr>
          <w:rFonts w:ascii="Garamond" w:hAnsi="Garamond"/>
          <w:sz w:val="28"/>
          <w:szCs w:val="28"/>
          <w:lang w:val="fr-FR"/>
        </w:rPr>
        <w:t xml:space="preserve"> répercussion</w:t>
      </w:r>
      <w:r w:rsidR="00100897" w:rsidRPr="004949C5">
        <w:rPr>
          <w:rFonts w:ascii="Garamond" w:hAnsi="Garamond"/>
          <w:sz w:val="28"/>
          <w:szCs w:val="28"/>
          <w:lang w:val="fr-FR"/>
        </w:rPr>
        <w:t>s</w:t>
      </w:r>
      <w:r w:rsidR="009039F1" w:rsidRPr="004949C5">
        <w:rPr>
          <w:rFonts w:ascii="Garamond" w:hAnsi="Garamond"/>
          <w:sz w:val="28"/>
          <w:szCs w:val="28"/>
          <w:lang w:val="fr-FR"/>
        </w:rPr>
        <w:t xml:space="preserve"> dans l’his</w:t>
      </w:r>
      <w:r w:rsidR="00F65F4F">
        <w:rPr>
          <w:rFonts w:ascii="Garamond" w:hAnsi="Garamond"/>
          <w:sz w:val="28"/>
          <w:szCs w:val="28"/>
          <w:lang w:val="fr-FR"/>
        </w:rPr>
        <w:t>toire des sciences et de la méde</w:t>
      </w:r>
      <w:r w:rsidR="009039F1" w:rsidRPr="004949C5">
        <w:rPr>
          <w:rFonts w:ascii="Garamond" w:hAnsi="Garamond"/>
          <w:sz w:val="28"/>
          <w:szCs w:val="28"/>
          <w:lang w:val="fr-FR"/>
        </w:rPr>
        <w:t>cine</w:t>
      </w:r>
      <w:r w:rsidR="00D066C3" w:rsidRPr="004949C5">
        <w:rPr>
          <w:rFonts w:ascii="Garamond" w:hAnsi="Garamond"/>
          <w:sz w:val="28"/>
          <w:szCs w:val="28"/>
          <w:lang w:val="fr-FR"/>
        </w:rPr>
        <w:t>. C’est en somme l’interrogation de Canguilhem (1966) au sujet du vivant : « Dans la mesure où des êtres vivants s’écartent du type spécifique, sont-ils des anormaux mettant la forme spécifique en péril, ou bien des inventeurs sur la voie de formes nouvelles ? ». Aussi l’exception incarnerait</w:t>
      </w:r>
      <w:r w:rsidR="009952BF" w:rsidRPr="004949C5">
        <w:rPr>
          <w:rFonts w:ascii="Garamond" w:hAnsi="Garamond"/>
          <w:sz w:val="28"/>
          <w:szCs w:val="28"/>
          <w:lang w:val="fr-FR"/>
        </w:rPr>
        <w:t>-elle</w:t>
      </w:r>
      <w:r w:rsidR="00D066C3" w:rsidRPr="004949C5">
        <w:rPr>
          <w:rFonts w:ascii="Garamond" w:hAnsi="Garamond"/>
          <w:sz w:val="28"/>
          <w:szCs w:val="28"/>
          <w:lang w:val="fr-FR"/>
        </w:rPr>
        <w:t xml:space="preserve"> la forme inventive du « type spécifique » de demain, en avance sur son époque, ou échappant pour un temps aux classifications en cours, à l’image de la découverte de l’ornithorynque par les premiers colons australiens : mi-amphibien, mi mammifère, pondant des œufs et en même temps allaitant sa progéniture, l’animal mettait à l’épreuve tous les cadres classificatoires établis, comme </w:t>
      </w:r>
      <w:r w:rsidR="00D066C3" w:rsidRPr="004949C5">
        <w:rPr>
          <w:rFonts w:ascii="Garamond" w:hAnsi="Garamond"/>
          <w:sz w:val="28"/>
          <w:szCs w:val="28"/>
          <w:lang w:val="fr-FR"/>
        </w:rPr>
        <w:lastRenderedPageBreak/>
        <w:t xml:space="preserve">le raconte Eco dans </w:t>
      </w:r>
      <w:r w:rsidR="00D066C3" w:rsidRPr="004949C5">
        <w:rPr>
          <w:rFonts w:ascii="Garamond" w:hAnsi="Garamond"/>
          <w:i/>
          <w:sz w:val="28"/>
          <w:szCs w:val="28"/>
          <w:lang w:val="fr-FR"/>
        </w:rPr>
        <w:t>Kant et l’ornithorynque</w:t>
      </w:r>
      <w:r w:rsidR="00D066C3" w:rsidRPr="004949C5">
        <w:rPr>
          <w:rFonts w:ascii="Garamond" w:hAnsi="Garamond"/>
          <w:sz w:val="28"/>
          <w:szCs w:val="28"/>
          <w:lang w:val="fr-FR"/>
        </w:rPr>
        <w:t xml:space="preserve"> (1999). D’ailleurs, en science, si l’exclusion des phénomènes non pertinents est une prérogative pour la construction d’une théorie scientifique (Luis J. Prieto 1975), c’est souvent sur la reconsidération du non-pertinent relégué en marge de la théorie que naissent de nouvelles théories, à l’instar des théories du chaos nées de la prise en considération de phénomènes (dits non linéaires) regardés jusqu’alors comme des exceptions monstrueuses (Hayles 1990).</w:t>
      </w:r>
    </w:p>
    <w:p w14:paraId="5F578362" w14:textId="4C1EE9C3" w:rsidR="00D066C3" w:rsidRPr="004949C5" w:rsidRDefault="00D066C3" w:rsidP="00016405">
      <w:pPr>
        <w:ind w:firstLine="708"/>
        <w:jc w:val="both"/>
        <w:rPr>
          <w:rFonts w:ascii="Garamond" w:hAnsi="Garamond"/>
          <w:sz w:val="28"/>
          <w:szCs w:val="28"/>
          <w:lang w:val="fr-FR"/>
        </w:rPr>
      </w:pPr>
      <w:r w:rsidRPr="004949C5">
        <w:rPr>
          <w:rFonts w:ascii="Garamond" w:hAnsi="Garamond"/>
          <w:sz w:val="28"/>
          <w:szCs w:val="28"/>
          <w:lang w:val="fr-FR"/>
        </w:rPr>
        <w:t xml:space="preserve">L’exception devient dès lors synonyme d’exclusion lorsqu’elle incarne ce </w:t>
      </w:r>
      <w:r w:rsidR="00EF3DA8" w:rsidRPr="004949C5">
        <w:rPr>
          <w:rFonts w:ascii="Garamond" w:hAnsi="Garamond"/>
          <w:sz w:val="28"/>
          <w:szCs w:val="28"/>
          <w:lang w:val="fr-FR"/>
        </w:rPr>
        <w:t>qui échappe aux classifications, aux dialectes, aux schémas de pensées ou</w:t>
      </w:r>
      <w:r w:rsidRPr="004949C5">
        <w:rPr>
          <w:rFonts w:ascii="Garamond" w:hAnsi="Garamond"/>
          <w:sz w:val="28"/>
          <w:szCs w:val="28"/>
          <w:lang w:val="fr-FR"/>
        </w:rPr>
        <w:t xml:space="preserve"> aux canons dominants. Elle opère alors à l’image de la dialectique du pathologique et du normal mise en évidence par Foucault dans son histoire de la folie ; le fou de l’âge classique est cet « autre » par opposition au « normal » et donc à « l’universel » : « le fou c’est l’autre par rapport aux autres : l’autre – au sens d’exception – parmi les autres au sens de l’universel » (1972, 199). Mais dès lors qu’on la pense comme ce qui nous met « sur la voie de formes nouvelles », on échappe au « placement » du normal au centre dans une forclusion de l’exception. Serait-il possible de penser l’exception ou la différence « de façon non distinctive, non comparative, non taxinomique » comme le suggère Marielle Macé (2016, 96) ? C’est à dire, pour reprendre ses exemples, un fou pour lui-même et non à l’aune </w:t>
      </w:r>
      <w:r w:rsidR="00D534BB" w:rsidRPr="004949C5">
        <w:rPr>
          <w:rFonts w:ascii="Garamond" w:hAnsi="Garamond"/>
          <w:sz w:val="28"/>
          <w:szCs w:val="28"/>
          <w:lang w:val="fr-FR"/>
        </w:rPr>
        <w:t xml:space="preserve">du sain d’esprit </w:t>
      </w:r>
      <w:r w:rsidRPr="004949C5">
        <w:rPr>
          <w:rFonts w:ascii="Garamond" w:hAnsi="Garamond"/>
          <w:sz w:val="28"/>
          <w:szCs w:val="28"/>
          <w:lang w:val="fr-FR"/>
        </w:rPr>
        <w:t xml:space="preserve">? </w:t>
      </w:r>
      <w:r w:rsidR="00115FFC" w:rsidRPr="004949C5">
        <w:rPr>
          <w:rFonts w:ascii="Garamond" w:hAnsi="Garamond"/>
          <w:sz w:val="28"/>
          <w:szCs w:val="28"/>
          <w:lang w:val="fr-FR"/>
        </w:rPr>
        <w:t xml:space="preserve">Dans un autre domaine, l’homosexualité ne pourrait-elle </w:t>
      </w:r>
      <w:r w:rsidR="00E1191E" w:rsidRPr="004949C5">
        <w:rPr>
          <w:rFonts w:ascii="Garamond" w:hAnsi="Garamond"/>
          <w:sz w:val="28"/>
          <w:szCs w:val="28"/>
          <w:lang w:val="fr-FR"/>
        </w:rPr>
        <w:t xml:space="preserve">pas </w:t>
      </w:r>
      <w:r w:rsidR="00115FFC" w:rsidRPr="004949C5">
        <w:rPr>
          <w:rFonts w:ascii="Garamond" w:hAnsi="Garamond"/>
          <w:sz w:val="28"/>
          <w:szCs w:val="28"/>
          <w:lang w:val="fr-FR"/>
        </w:rPr>
        <w:t xml:space="preserve">se penser en dehors de son contraste avec l’hétérosexualité ? </w:t>
      </w:r>
      <w:r w:rsidRPr="004949C5">
        <w:rPr>
          <w:rFonts w:ascii="Garamond" w:hAnsi="Garamond"/>
          <w:sz w:val="28"/>
          <w:szCs w:val="28"/>
          <w:lang w:val="fr-FR"/>
        </w:rPr>
        <w:t>Transposée à la langue, ce serait penser « l’infraction » linguistique non pas dans un écart par rapport à une certaine norme (toujours multiple) mais comme « reconnaissance des virtualités inscrites dans la langue » (Gardes Tamine 2010), sauf à penser que l’exception ne correspond qu’à un stade de la théorisation linguistique, en attente d’une théorie plus large à même de l’englober et d’en rendre un jour compte.</w:t>
      </w:r>
      <w:r w:rsidR="009952BF" w:rsidRPr="004949C5">
        <w:rPr>
          <w:rFonts w:ascii="Garamond" w:hAnsi="Garamond"/>
          <w:sz w:val="28"/>
          <w:szCs w:val="28"/>
          <w:lang w:val="fr-FR"/>
        </w:rPr>
        <w:t xml:space="preserve"> L’exception rencontre donc les notions d’</w:t>
      </w:r>
      <w:r w:rsidR="009952BF" w:rsidRPr="004949C5">
        <w:rPr>
          <w:rFonts w:ascii="Garamond" w:hAnsi="Garamond"/>
          <w:i/>
          <w:sz w:val="28"/>
          <w:szCs w:val="28"/>
          <w:lang w:val="fr-FR"/>
        </w:rPr>
        <w:t xml:space="preserve">establishment </w:t>
      </w:r>
      <w:r w:rsidR="009952BF" w:rsidRPr="004949C5">
        <w:rPr>
          <w:rFonts w:ascii="Garamond" w:hAnsi="Garamond"/>
          <w:sz w:val="28"/>
          <w:szCs w:val="28"/>
          <w:lang w:val="fr-FR"/>
        </w:rPr>
        <w:t xml:space="preserve">et la dialectique </w:t>
      </w:r>
      <w:r w:rsidR="009952BF" w:rsidRPr="004949C5">
        <w:rPr>
          <w:rFonts w:ascii="Garamond" w:hAnsi="Garamond"/>
          <w:i/>
          <w:sz w:val="28"/>
          <w:szCs w:val="28"/>
          <w:lang w:val="fr-FR"/>
        </w:rPr>
        <w:t>insider/outsider</w:t>
      </w:r>
      <w:r w:rsidR="009952BF" w:rsidRPr="004949C5">
        <w:rPr>
          <w:rFonts w:ascii="Garamond" w:hAnsi="Garamond"/>
          <w:sz w:val="28"/>
          <w:szCs w:val="28"/>
          <w:lang w:val="fr-FR"/>
        </w:rPr>
        <w:t xml:space="preserve"> qui lui est attachée. Elle pose les questions de l’énumération et </w:t>
      </w:r>
      <w:r w:rsidR="00E1191E" w:rsidRPr="004949C5">
        <w:rPr>
          <w:rFonts w:ascii="Garamond" w:hAnsi="Garamond"/>
          <w:sz w:val="28"/>
          <w:szCs w:val="28"/>
          <w:lang w:val="fr-FR"/>
        </w:rPr>
        <w:t xml:space="preserve">de </w:t>
      </w:r>
      <w:r w:rsidR="009952BF" w:rsidRPr="004949C5">
        <w:rPr>
          <w:rFonts w:ascii="Garamond" w:hAnsi="Garamond"/>
          <w:sz w:val="28"/>
          <w:szCs w:val="28"/>
          <w:lang w:val="fr-FR"/>
        </w:rPr>
        <w:t xml:space="preserve">l’inclusion/exclusion : de même que le protestantisme et le puritanisme se sont interrogés sur les </w:t>
      </w:r>
      <w:r w:rsidR="009952BF" w:rsidRPr="004949C5">
        <w:rPr>
          <w:rFonts w:ascii="Garamond" w:hAnsi="Garamond"/>
          <w:i/>
          <w:sz w:val="28"/>
          <w:szCs w:val="28"/>
          <w:lang w:val="fr-FR"/>
        </w:rPr>
        <w:t>adiophora</w:t>
      </w:r>
      <w:r w:rsidR="009952BF" w:rsidRPr="004949C5">
        <w:rPr>
          <w:rFonts w:ascii="Garamond" w:hAnsi="Garamond"/>
          <w:sz w:val="28"/>
          <w:szCs w:val="28"/>
          <w:lang w:val="fr-FR"/>
        </w:rPr>
        <w:t xml:space="preserve"> ou choses « indifférentes » non expressément mentionnées dans la Bible, le 9</w:t>
      </w:r>
      <w:r w:rsidR="009952BF" w:rsidRPr="004949C5">
        <w:rPr>
          <w:rFonts w:ascii="Garamond" w:hAnsi="Garamond"/>
          <w:sz w:val="28"/>
          <w:szCs w:val="28"/>
          <w:vertAlign w:val="superscript"/>
          <w:lang w:val="fr-FR"/>
        </w:rPr>
        <w:t>e</w:t>
      </w:r>
      <w:r w:rsidR="009952BF" w:rsidRPr="004949C5">
        <w:rPr>
          <w:rFonts w:ascii="Garamond" w:hAnsi="Garamond"/>
          <w:sz w:val="28"/>
          <w:szCs w:val="28"/>
          <w:lang w:val="fr-FR"/>
        </w:rPr>
        <w:t xml:space="preserve"> amendement de la Constitution américaine mentionne les droits qui ne sont pas spécifiquement énumérés, l’exception devenant aussi un mode d’interprétation et de lecture des textes fondateurs de la tradition théologico-politique anglo-saxonne.</w:t>
      </w:r>
    </w:p>
    <w:p w14:paraId="3B58284F" w14:textId="35A69C15" w:rsidR="00D066C3" w:rsidRPr="004949C5" w:rsidRDefault="00D066C3" w:rsidP="00D066C3">
      <w:pPr>
        <w:ind w:firstLine="708"/>
        <w:jc w:val="both"/>
        <w:rPr>
          <w:rFonts w:ascii="Garamond" w:hAnsi="Garamond"/>
          <w:sz w:val="28"/>
          <w:szCs w:val="28"/>
          <w:lang w:val="fr-FR"/>
        </w:rPr>
      </w:pPr>
      <w:r w:rsidRPr="004949C5">
        <w:rPr>
          <w:rFonts w:ascii="Garamond" w:hAnsi="Garamond"/>
          <w:sz w:val="28"/>
          <w:szCs w:val="28"/>
          <w:lang w:val="fr-FR"/>
        </w:rPr>
        <w:t>Mais il y a plus dès que l’on transforme le substantif en adjectif : l’exceptionnel, ce n’est pas celui qui est « en-deçà » de la norme mais bien « hors norme », qui jouit d’un statut d’exception au sens de singularité suprême. On pourrait ici parler des destins d’exceptions, de vies exceptionnelles ou originales, de singularités méritant récit</w:t>
      </w:r>
      <w:r w:rsidR="00F04309" w:rsidRPr="004949C5">
        <w:rPr>
          <w:rFonts w:ascii="Garamond" w:hAnsi="Garamond"/>
          <w:sz w:val="28"/>
          <w:szCs w:val="28"/>
          <w:lang w:val="fr-FR"/>
        </w:rPr>
        <w:t>s</w:t>
      </w:r>
      <w:r w:rsidRPr="004949C5">
        <w:rPr>
          <w:rFonts w:ascii="Garamond" w:hAnsi="Garamond"/>
          <w:sz w:val="28"/>
          <w:szCs w:val="28"/>
          <w:lang w:val="fr-FR"/>
        </w:rPr>
        <w:t xml:space="preserve"> de vie, d’œuvres résolument inclassables, de fous littéraires frappés de génie créateur</w:t>
      </w:r>
      <w:r w:rsidR="009952BF" w:rsidRPr="004949C5">
        <w:rPr>
          <w:rFonts w:ascii="Garamond" w:hAnsi="Garamond"/>
          <w:sz w:val="28"/>
          <w:szCs w:val="28"/>
          <w:lang w:val="fr-FR"/>
        </w:rPr>
        <w:t xml:space="preserve"> – on peut penser aux films ou biopics mettant en scène des savants d’exception, comme John Nash dans </w:t>
      </w:r>
      <w:r w:rsidR="009952BF" w:rsidRPr="004949C5">
        <w:rPr>
          <w:rFonts w:ascii="Garamond" w:hAnsi="Garamond"/>
          <w:i/>
          <w:sz w:val="28"/>
          <w:szCs w:val="28"/>
          <w:lang w:val="fr-FR"/>
        </w:rPr>
        <w:t>A Beautiful Mind</w:t>
      </w:r>
      <w:r w:rsidR="009952BF" w:rsidRPr="004949C5">
        <w:rPr>
          <w:rFonts w:ascii="Garamond" w:hAnsi="Garamond"/>
          <w:sz w:val="28"/>
          <w:szCs w:val="28"/>
          <w:lang w:val="fr-FR"/>
        </w:rPr>
        <w:t xml:space="preserve"> de 2001 (traduit par </w:t>
      </w:r>
      <w:r w:rsidR="009952BF" w:rsidRPr="004949C5">
        <w:rPr>
          <w:rFonts w:ascii="Garamond" w:hAnsi="Garamond"/>
          <w:i/>
          <w:sz w:val="28"/>
          <w:szCs w:val="28"/>
          <w:lang w:val="fr-FR"/>
        </w:rPr>
        <w:t>Un Homme d’exception</w:t>
      </w:r>
      <w:r w:rsidR="009952BF" w:rsidRPr="004949C5">
        <w:rPr>
          <w:rFonts w:ascii="Garamond" w:hAnsi="Garamond"/>
          <w:sz w:val="28"/>
          <w:szCs w:val="28"/>
          <w:lang w:val="fr-FR"/>
        </w:rPr>
        <w:t xml:space="preserve">), </w:t>
      </w:r>
      <w:r w:rsidR="00E1191E" w:rsidRPr="004949C5">
        <w:rPr>
          <w:rFonts w:ascii="Garamond" w:hAnsi="Garamond"/>
          <w:sz w:val="28"/>
          <w:szCs w:val="28"/>
          <w:lang w:val="fr-FR"/>
        </w:rPr>
        <w:t xml:space="preserve">ou encore à </w:t>
      </w:r>
      <w:r w:rsidR="00115FFC" w:rsidRPr="004949C5">
        <w:rPr>
          <w:rFonts w:ascii="Garamond" w:hAnsi="Garamond"/>
          <w:sz w:val="28"/>
          <w:szCs w:val="28"/>
          <w:lang w:val="fr-FR"/>
        </w:rPr>
        <w:t>Stephen Hawkin</w:t>
      </w:r>
      <w:r w:rsidR="00F65F4F">
        <w:rPr>
          <w:rFonts w:ascii="Garamond" w:hAnsi="Garamond"/>
          <w:sz w:val="28"/>
          <w:szCs w:val="28"/>
          <w:lang w:val="fr-FR"/>
        </w:rPr>
        <w:t>g</w:t>
      </w:r>
      <w:r w:rsidR="00115FFC" w:rsidRPr="004949C5">
        <w:rPr>
          <w:rFonts w:ascii="Garamond" w:hAnsi="Garamond"/>
          <w:sz w:val="28"/>
          <w:szCs w:val="28"/>
          <w:lang w:val="fr-FR"/>
        </w:rPr>
        <w:t xml:space="preserve"> ou Alan Turing</w:t>
      </w:r>
      <w:r w:rsidRPr="004949C5">
        <w:rPr>
          <w:rFonts w:ascii="Garamond" w:hAnsi="Garamond"/>
          <w:sz w:val="28"/>
          <w:szCs w:val="28"/>
          <w:lang w:val="fr-FR"/>
        </w:rPr>
        <w:t xml:space="preserve">. </w:t>
      </w:r>
      <w:r w:rsidR="004769B2" w:rsidRPr="004949C5">
        <w:rPr>
          <w:rFonts w:ascii="Garamond" w:hAnsi="Garamond"/>
          <w:sz w:val="28"/>
          <w:szCs w:val="28"/>
          <w:lang w:val="fr-FR"/>
        </w:rPr>
        <w:t>Mais le destin exceptionnel</w:t>
      </w:r>
      <w:r w:rsidR="00EF3DA8" w:rsidRPr="004949C5">
        <w:rPr>
          <w:rFonts w:ascii="Garamond" w:hAnsi="Garamond"/>
          <w:sz w:val="28"/>
          <w:szCs w:val="28"/>
          <w:lang w:val="fr-FR"/>
        </w:rPr>
        <w:t>, puisant parfois dans l’insularité,</w:t>
      </w:r>
      <w:r w:rsidR="004769B2" w:rsidRPr="004949C5">
        <w:rPr>
          <w:rFonts w:ascii="Garamond" w:hAnsi="Garamond"/>
          <w:sz w:val="28"/>
          <w:szCs w:val="28"/>
          <w:lang w:val="fr-FR"/>
        </w:rPr>
        <w:t xml:space="preserve"> p</w:t>
      </w:r>
      <w:r w:rsidR="00DC094D">
        <w:rPr>
          <w:rFonts w:ascii="Garamond" w:hAnsi="Garamond"/>
          <w:sz w:val="28"/>
          <w:szCs w:val="28"/>
          <w:lang w:val="fr-FR"/>
        </w:rPr>
        <w:t>eut aussi être celui auquel croi</w:t>
      </w:r>
      <w:r w:rsidR="004769B2" w:rsidRPr="004949C5">
        <w:rPr>
          <w:rFonts w:ascii="Garamond" w:hAnsi="Garamond"/>
          <w:sz w:val="28"/>
          <w:szCs w:val="28"/>
          <w:lang w:val="fr-FR"/>
        </w:rPr>
        <w:t xml:space="preserve">t une nation qui l’interprète alors comme une source d’exemplarité, </w:t>
      </w:r>
      <w:r w:rsidR="00F04309" w:rsidRPr="004949C5">
        <w:rPr>
          <w:rFonts w:ascii="Garamond" w:hAnsi="Garamond"/>
          <w:sz w:val="28"/>
          <w:szCs w:val="28"/>
          <w:lang w:val="fr-FR"/>
        </w:rPr>
        <w:t xml:space="preserve">qu’il s’agisse d’une Grande-Bretagne </w:t>
      </w:r>
      <w:r w:rsidR="00F04309" w:rsidRPr="00DC78F8">
        <w:rPr>
          <w:rFonts w:ascii="Garamond" w:hAnsi="Garamond"/>
          <w:color w:val="000000" w:themeColor="text1"/>
          <w:sz w:val="28"/>
          <w:szCs w:val="28"/>
          <w:lang w:val="fr-FR"/>
        </w:rPr>
        <w:t>cu</w:t>
      </w:r>
      <w:r w:rsidR="00DC78F8" w:rsidRPr="00DC78F8">
        <w:rPr>
          <w:rFonts w:ascii="Garamond" w:hAnsi="Garamond"/>
          <w:color w:val="000000" w:themeColor="text1"/>
          <w:sz w:val="28"/>
          <w:szCs w:val="28"/>
          <w:lang w:val="fr-FR"/>
        </w:rPr>
        <w:t>ltivant son excentricité</w:t>
      </w:r>
      <w:r w:rsidR="00F04309" w:rsidRPr="00DC78F8">
        <w:rPr>
          <w:rFonts w:ascii="Garamond" w:hAnsi="Garamond"/>
          <w:color w:val="000000" w:themeColor="text1"/>
          <w:sz w:val="28"/>
          <w:szCs w:val="28"/>
          <w:lang w:val="fr-FR"/>
        </w:rPr>
        <w:t xml:space="preserve"> ou</w:t>
      </w:r>
      <w:r w:rsidR="004769B2" w:rsidRPr="004949C5">
        <w:rPr>
          <w:rFonts w:ascii="Garamond" w:hAnsi="Garamond"/>
          <w:sz w:val="28"/>
          <w:szCs w:val="28"/>
          <w:lang w:val="fr-FR"/>
        </w:rPr>
        <w:t xml:space="preserve"> une Amérique qui s’est souvent pensée élue, portée par une </w:t>
      </w:r>
      <w:r w:rsidR="00F04309" w:rsidRPr="004949C5">
        <w:rPr>
          <w:rFonts w:ascii="Garamond" w:hAnsi="Garamond"/>
          <w:sz w:val="28"/>
          <w:szCs w:val="28"/>
          <w:lang w:val="fr-FR"/>
        </w:rPr>
        <w:t>« </w:t>
      </w:r>
      <w:r w:rsidR="004769B2" w:rsidRPr="004949C5">
        <w:rPr>
          <w:rFonts w:ascii="Garamond" w:hAnsi="Garamond"/>
          <w:sz w:val="28"/>
          <w:szCs w:val="28"/>
          <w:lang w:val="fr-FR"/>
        </w:rPr>
        <w:t>destinée manifeste</w:t>
      </w:r>
      <w:r w:rsidR="00F04309" w:rsidRPr="004949C5">
        <w:rPr>
          <w:rFonts w:ascii="Garamond" w:hAnsi="Garamond"/>
          <w:sz w:val="28"/>
          <w:szCs w:val="28"/>
          <w:lang w:val="fr-FR"/>
        </w:rPr>
        <w:t> »</w:t>
      </w:r>
      <w:r w:rsidR="004769B2" w:rsidRPr="004949C5">
        <w:rPr>
          <w:rFonts w:ascii="Garamond" w:hAnsi="Garamond"/>
          <w:sz w:val="28"/>
          <w:szCs w:val="28"/>
          <w:lang w:val="fr-FR"/>
        </w:rPr>
        <w:t xml:space="preserve"> en se construisant comme la </w:t>
      </w:r>
      <w:r w:rsidR="004769B2" w:rsidRPr="004949C5">
        <w:rPr>
          <w:rFonts w:ascii="Garamond" w:hAnsi="Garamond"/>
          <w:i/>
          <w:sz w:val="28"/>
          <w:szCs w:val="28"/>
          <w:lang w:val="fr-FR"/>
        </w:rPr>
        <w:t xml:space="preserve">first </w:t>
      </w:r>
      <w:r w:rsidR="004769B2" w:rsidRPr="004949C5">
        <w:rPr>
          <w:rFonts w:ascii="Garamond" w:hAnsi="Garamond"/>
          <w:i/>
          <w:sz w:val="28"/>
          <w:szCs w:val="28"/>
          <w:lang w:val="fr-FR"/>
        </w:rPr>
        <w:lastRenderedPageBreak/>
        <w:t>new nation</w:t>
      </w:r>
      <w:r w:rsidR="004769B2" w:rsidRPr="004949C5">
        <w:rPr>
          <w:rFonts w:ascii="Garamond" w:hAnsi="Garamond"/>
          <w:sz w:val="28"/>
          <w:szCs w:val="28"/>
          <w:lang w:val="fr-FR"/>
        </w:rPr>
        <w:t xml:space="preserve"> (Lipset 1963)</w:t>
      </w:r>
      <w:r w:rsidR="00F04309" w:rsidRPr="004949C5">
        <w:rPr>
          <w:rFonts w:ascii="Garamond" w:hAnsi="Garamond"/>
          <w:sz w:val="28"/>
          <w:szCs w:val="28"/>
          <w:lang w:val="fr-FR"/>
        </w:rPr>
        <w:t xml:space="preserve"> </w:t>
      </w:r>
      <w:r w:rsidR="009952BF" w:rsidRPr="004949C5">
        <w:rPr>
          <w:rFonts w:ascii="Garamond" w:hAnsi="Garamond"/>
          <w:sz w:val="28"/>
          <w:szCs w:val="28"/>
          <w:lang w:val="fr-FR"/>
        </w:rPr>
        <w:t>ou qui a pu</w:t>
      </w:r>
      <w:r w:rsidR="00F04309" w:rsidRPr="004949C5">
        <w:rPr>
          <w:rFonts w:ascii="Garamond" w:hAnsi="Garamond"/>
          <w:sz w:val="28"/>
          <w:szCs w:val="28"/>
          <w:lang w:val="fr-FR"/>
        </w:rPr>
        <w:t xml:space="preserve"> par exemple affirmer</w:t>
      </w:r>
      <w:r w:rsidR="00B07710">
        <w:rPr>
          <w:rFonts w:ascii="Garamond" w:hAnsi="Garamond"/>
          <w:sz w:val="28"/>
          <w:szCs w:val="28"/>
          <w:lang w:val="fr-FR"/>
        </w:rPr>
        <w:t>, en parlant du socialisme,</w:t>
      </w:r>
      <w:r w:rsidR="00F04309" w:rsidRPr="004949C5">
        <w:rPr>
          <w:rFonts w:ascii="Garamond" w:hAnsi="Garamond"/>
          <w:sz w:val="28"/>
          <w:szCs w:val="28"/>
          <w:lang w:val="fr-FR"/>
        </w:rPr>
        <w:t xml:space="preserve"> « </w:t>
      </w:r>
      <w:r w:rsidR="00F04309" w:rsidRPr="004949C5">
        <w:rPr>
          <w:rFonts w:ascii="Garamond" w:hAnsi="Garamond"/>
          <w:i/>
          <w:sz w:val="28"/>
          <w:szCs w:val="28"/>
          <w:lang w:val="fr-FR"/>
        </w:rPr>
        <w:t>it didn’t happen here</w:t>
      </w:r>
      <w:r w:rsidR="00F04309" w:rsidRPr="004949C5">
        <w:rPr>
          <w:rFonts w:ascii="Garamond" w:hAnsi="Garamond"/>
          <w:sz w:val="28"/>
          <w:szCs w:val="28"/>
          <w:lang w:val="fr-FR"/>
        </w:rPr>
        <w:t> » (Lispet and Marks, 2000)</w:t>
      </w:r>
      <w:r w:rsidR="004769B2" w:rsidRPr="004949C5">
        <w:rPr>
          <w:rFonts w:ascii="Garamond" w:hAnsi="Garamond"/>
          <w:sz w:val="28"/>
          <w:szCs w:val="28"/>
          <w:lang w:val="fr-FR"/>
        </w:rPr>
        <w:t xml:space="preserve">. </w:t>
      </w:r>
      <w:r w:rsidRPr="004949C5">
        <w:rPr>
          <w:rFonts w:ascii="Garamond" w:hAnsi="Garamond"/>
          <w:sz w:val="28"/>
          <w:szCs w:val="28"/>
          <w:lang w:val="fr-FR"/>
        </w:rPr>
        <w:t xml:space="preserve">Le paradoxe de l’exception se situant là dans l’idée que se donner comme modèle c’est prendre le risque d’être imité et de perdre en exceptionnalité. </w:t>
      </w:r>
    </w:p>
    <w:p w14:paraId="1B971304" w14:textId="7D2CE96F" w:rsidR="00C91F22" w:rsidRPr="004949C5" w:rsidRDefault="00D066C3" w:rsidP="00D066C3">
      <w:pPr>
        <w:ind w:firstLine="708"/>
        <w:jc w:val="both"/>
        <w:rPr>
          <w:rFonts w:ascii="Garamond" w:hAnsi="Garamond"/>
          <w:sz w:val="28"/>
          <w:szCs w:val="28"/>
          <w:lang w:val="fr-FR"/>
        </w:rPr>
      </w:pPr>
      <w:r w:rsidRPr="004949C5">
        <w:rPr>
          <w:rFonts w:ascii="Garamond" w:hAnsi="Garamond"/>
          <w:sz w:val="28"/>
          <w:szCs w:val="28"/>
          <w:lang w:val="fr-FR"/>
        </w:rPr>
        <w:t>Penser envers et contre le « normal », l’attendu, l’éprouvé, le banal c’est une manière de se dé-centrer, de se dé-territorialiser (</w:t>
      </w:r>
      <w:r w:rsidRPr="004949C5">
        <w:rPr>
          <w:rFonts w:ascii="Garamond" w:hAnsi="Garamond"/>
          <w:i/>
          <w:sz w:val="28"/>
          <w:szCs w:val="28"/>
          <w:lang w:val="fr-FR"/>
        </w:rPr>
        <w:t>thinking outside the box</w:t>
      </w:r>
      <w:r w:rsidRPr="004949C5">
        <w:rPr>
          <w:rFonts w:ascii="Garamond" w:hAnsi="Garamond"/>
          <w:sz w:val="28"/>
          <w:szCs w:val="28"/>
          <w:lang w:val="fr-FR"/>
        </w:rPr>
        <w:t>) qui permet de mettre à l’épreuve les classements, les canons, les styles, les mouvements littéraires et esthétiques</w:t>
      </w:r>
      <w:r w:rsidR="00C91F22" w:rsidRPr="004949C5">
        <w:rPr>
          <w:rFonts w:ascii="Garamond" w:hAnsi="Garamond"/>
          <w:sz w:val="28"/>
          <w:szCs w:val="28"/>
          <w:lang w:val="fr-FR"/>
        </w:rPr>
        <w:t>, les croyances</w:t>
      </w:r>
      <w:r w:rsidRPr="004949C5">
        <w:rPr>
          <w:rFonts w:ascii="Garamond" w:hAnsi="Garamond"/>
          <w:sz w:val="28"/>
          <w:szCs w:val="28"/>
          <w:lang w:val="fr-FR"/>
        </w:rPr>
        <w:t>. « To take exception to » c’est aussi s’offusquer, c’est s’indigner de. En effet, la production des savoirs s’expose au risque de l’asphyxie si elle n’a pas, régulièrement, l’audace de penser contre : contre les sentiers battus, contre les orthodoxies, contre les routines intellectuelles qui fossilisent l’esprit et marginalisent l’apport académique. Accueilli dans la Provence qui vit Zola et Cézanne nouer leur amitié, ce congrès est l’occasion de réfléchir aux imprévus, aux innovations, aux perturbations des connaissances conventionnelles. Rejet des académismes, usages de la transgression, surgissement de l’impensable : l’exception refuse l’exemption de l’examen critique.</w:t>
      </w:r>
    </w:p>
    <w:p w14:paraId="6FBAD56B" w14:textId="52580833" w:rsidR="00A0253A" w:rsidRPr="004949C5" w:rsidRDefault="00D066C3" w:rsidP="00841D4C">
      <w:pPr>
        <w:ind w:firstLine="708"/>
        <w:jc w:val="both"/>
        <w:rPr>
          <w:rFonts w:ascii="Garamond" w:hAnsi="Garamond"/>
          <w:sz w:val="28"/>
          <w:szCs w:val="28"/>
          <w:lang w:val="fr-FR"/>
        </w:rPr>
      </w:pPr>
      <w:r w:rsidRPr="004949C5">
        <w:rPr>
          <w:rFonts w:ascii="Garamond" w:hAnsi="Garamond"/>
          <w:sz w:val="28"/>
          <w:szCs w:val="28"/>
          <w:lang w:val="fr-FR"/>
        </w:rPr>
        <w:t>Le congrès accueillera avec plaisir des contributions susceptibles de réfléchir à la façon dont les principes sont établis et pris en défaut. Cela pourra permettre de saisir comment les ruptures de style et de sens s’imposent dans la création littéraire et artistique</w:t>
      </w:r>
      <w:r w:rsidR="00EF3DA8" w:rsidRPr="004949C5">
        <w:rPr>
          <w:rFonts w:ascii="Garamond" w:hAnsi="Garamond"/>
          <w:sz w:val="28"/>
          <w:szCs w:val="28"/>
          <w:lang w:val="fr-FR"/>
        </w:rPr>
        <w:t xml:space="preserve"> ou dans la traduction</w:t>
      </w:r>
      <w:r w:rsidRPr="004949C5">
        <w:rPr>
          <w:rFonts w:ascii="Garamond" w:hAnsi="Garamond"/>
          <w:sz w:val="28"/>
          <w:szCs w:val="28"/>
          <w:lang w:val="fr-FR"/>
        </w:rPr>
        <w:t>.</w:t>
      </w:r>
      <w:r w:rsidR="00016405">
        <w:rPr>
          <w:rFonts w:ascii="Garamond" w:hAnsi="Garamond"/>
          <w:sz w:val="28"/>
          <w:szCs w:val="28"/>
          <w:lang w:val="fr-FR"/>
        </w:rPr>
        <w:t xml:space="preserve"> </w:t>
      </w:r>
      <w:r w:rsidR="00016405" w:rsidRPr="00016405">
        <w:rPr>
          <w:rFonts w:ascii="Garamond" w:hAnsi="Garamond"/>
          <w:color w:val="000000" w:themeColor="text1"/>
          <w:sz w:val="28"/>
          <w:szCs w:val="28"/>
          <w:lang w:val="fr-FR"/>
        </w:rPr>
        <w:t>Comme l’indique par exemple Henri Meschonnic, « traduire entre dans le travail incessant qui change les formes littéraires d'une société ».</w:t>
      </w:r>
      <w:r w:rsidRPr="00016405">
        <w:rPr>
          <w:rFonts w:ascii="Garamond" w:hAnsi="Garamond"/>
          <w:color w:val="000000" w:themeColor="text1"/>
          <w:sz w:val="28"/>
          <w:szCs w:val="28"/>
          <w:lang w:val="fr-FR"/>
        </w:rPr>
        <w:t xml:space="preserve"> </w:t>
      </w:r>
      <w:r w:rsidRPr="004949C5">
        <w:rPr>
          <w:rFonts w:ascii="Garamond" w:hAnsi="Garamond"/>
          <w:sz w:val="28"/>
          <w:szCs w:val="28"/>
          <w:lang w:val="fr-FR"/>
        </w:rPr>
        <w:t>Cela entraîne une réflexion sur le rôle et la position de l’artiste ou du penseur, comme l</w:t>
      </w:r>
      <w:r w:rsidR="0081139C">
        <w:rPr>
          <w:rFonts w:ascii="Garamond" w:hAnsi="Garamond"/>
          <w:sz w:val="28"/>
          <w:szCs w:val="28"/>
          <w:lang w:val="fr-FR"/>
        </w:rPr>
        <w:t>e souligne</w:t>
      </w:r>
      <w:r w:rsidRPr="004949C5">
        <w:rPr>
          <w:rFonts w:ascii="Garamond" w:hAnsi="Garamond"/>
          <w:sz w:val="28"/>
          <w:szCs w:val="28"/>
          <w:lang w:val="fr-FR"/>
        </w:rPr>
        <w:t xml:space="preserve"> le critique écossais Alex Thomson (2017) : « </w:t>
      </w:r>
      <w:r w:rsidRPr="004949C5">
        <w:rPr>
          <w:rFonts w:ascii="Garamond" w:hAnsi="Garamond"/>
          <w:i/>
          <w:sz w:val="28"/>
          <w:szCs w:val="28"/>
          <w:lang w:val="fr-FR"/>
        </w:rPr>
        <w:t xml:space="preserve">All </w:t>
      </w:r>
      <w:r w:rsidR="0005233E">
        <w:rPr>
          <w:rFonts w:ascii="Garamond" w:hAnsi="Garamond"/>
          <w:i/>
          <w:sz w:val="28"/>
          <w:szCs w:val="28"/>
          <w:lang w:val="fr-FR"/>
        </w:rPr>
        <w:t>[our]</w:t>
      </w:r>
      <w:r w:rsidRPr="004949C5">
        <w:rPr>
          <w:rFonts w:ascii="Garamond" w:hAnsi="Garamond"/>
          <w:i/>
          <w:sz w:val="28"/>
          <w:szCs w:val="28"/>
          <w:lang w:val="fr-FR"/>
        </w:rPr>
        <w:t xml:space="preserve"> writers are outsiders </w:t>
      </w:r>
      <w:r w:rsidRPr="004949C5">
        <w:rPr>
          <w:rFonts w:ascii="Garamond" w:hAnsi="Garamond"/>
          <w:sz w:val="28"/>
          <w:szCs w:val="28"/>
          <w:lang w:val="fr-FR"/>
        </w:rPr>
        <w:t xml:space="preserve">». Cela sera l’occasion de réfléchir au statut particulier de la « règle de l’exception » </w:t>
      </w:r>
      <w:r w:rsidR="00017632" w:rsidRPr="00DC78F8">
        <w:rPr>
          <w:rFonts w:ascii="Garamond" w:hAnsi="Garamond"/>
          <w:color w:val="000000" w:themeColor="text1"/>
          <w:sz w:val="28"/>
          <w:szCs w:val="28"/>
          <w:lang w:val="fr-FR"/>
        </w:rPr>
        <w:t xml:space="preserve">en didactique, ou encore cette règle </w:t>
      </w:r>
      <w:r w:rsidRPr="00DC78F8">
        <w:rPr>
          <w:rFonts w:ascii="Garamond" w:hAnsi="Garamond"/>
          <w:color w:val="000000" w:themeColor="text1"/>
          <w:sz w:val="28"/>
          <w:szCs w:val="28"/>
          <w:lang w:val="fr-FR"/>
        </w:rPr>
        <w:t>qui</w:t>
      </w:r>
      <w:r w:rsidRPr="004949C5">
        <w:rPr>
          <w:rFonts w:ascii="Garamond" w:hAnsi="Garamond"/>
          <w:sz w:val="28"/>
          <w:szCs w:val="28"/>
          <w:lang w:val="fr-FR"/>
        </w:rPr>
        <w:t xml:space="preserve"> fait qu’un standard soit susceptible de normer l’idiome et d’en borner limitativement les écarts. L’on pourra également interroger </w:t>
      </w:r>
      <w:r w:rsidR="00F04309" w:rsidRPr="004949C5">
        <w:rPr>
          <w:rFonts w:ascii="Garamond" w:hAnsi="Garamond"/>
          <w:sz w:val="28"/>
          <w:szCs w:val="28"/>
          <w:lang w:val="fr-FR"/>
        </w:rPr>
        <w:t xml:space="preserve">et mettre à l’épreuve </w:t>
      </w:r>
      <w:r w:rsidRPr="004949C5">
        <w:rPr>
          <w:rFonts w:ascii="Garamond" w:hAnsi="Garamond"/>
          <w:sz w:val="28"/>
          <w:szCs w:val="28"/>
          <w:lang w:val="fr-FR"/>
        </w:rPr>
        <w:t>la croyance, portée par chaque espace civilisationnel, selon laquelle le collectif est unique et à nul autre pareil</w:t>
      </w:r>
      <w:r w:rsidR="00841D4C" w:rsidRPr="004949C5">
        <w:rPr>
          <w:rFonts w:ascii="Garamond" w:hAnsi="Garamond"/>
          <w:sz w:val="28"/>
          <w:szCs w:val="28"/>
          <w:lang w:val="fr-FR"/>
        </w:rPr>
        <w:t>.</w:t>
      </w:r>
    </w:p>
    <w:p w14:paraId="391D2FFF" w14:textId="407FFF2B" w:rsidR="00291D5F" w:rsidRDefault="00291D5F" w:rsidP="00291D5F">
      <w:pPr>
        <w:rPr>
          <w:rFonts w:ascii="Garamond" w:hAnsi="Garamond"/>
          <w:i/>
          <w:sz w:val="28"/>
          <w:szCs w:val="28"/>
          <w:lang w:val="fr-FR"/>
        </w:rPr>
      </w:pPr>
    </w:p>
    <w:p w14:paraId="3443E316" w14:textId="77777777" w:rsidR="00127787" w:rsidRDefault="00127787" w:rsidP="0081139C">
      <w:pPr>
        <w:outlineLvl w:val="0"/>
        <w:rPr>
          <w:rFonts w:ascii="Garamond" w:hAnsi="Garamond"/>
          <w:i/>
          <w:sz w:val="28"/>
          <w:szCs w:val="28"/>
          <w:lang w:val="fr-FR"/>
        </w:rPr>
      </w:pPr>
      <w:r>
        <w:rPr>
          <w:rFonts w:ascii="Garamond" w:hAnsi="Garamond"/>
          <w:i/>
          <w:sz w:val="28"/>
          <w:szCs w:val="28"/>
          <w:lang w:val="fr-FR"/>
        </w:rPr>
        <w:t>Sandrine Sorlin</w:t>
      </w:r>
    </w:p>
    <w:p w14:paraId="134AB664" w14:textId="77777777" w:rsidR="00127787" w:rsidRPr="004949C5" w:rsidRDefault="00127787" w:rsidP="00291D5F">
      <w:pPr>
        <w:rPr>
          <w:rFonts w:ascii="Garamond" w:hAnsi="Garamond"/>
          <w:i/>
          <w:sz w:val="28"/>
          <w:szCs w:val="28"/>
          <w:lang w:val="fr-FR"/>
        </w:rPr>
      </w:pPr>
      <w:bookmarkStart w:id="0" w:name="_GoBack"/>
      <w:bookmarkEnd w:id="0"/>
    </w:p>
    <w:p w14:paraId="42605786" w14:textId="77777777" w:rsidR="00307BAB" w:rsidRPr="004949C5" w:rsidRDefault="00307BAB" w:rsidP="00291D5F">
      <w:pPr>
        <w:rPr>
          <w:rFonts w:ascii="Garamond" w:hAnsi="Garamond"/>
          <w:i/>
          <w:sz w:val="28"/>
          <w:szCs w:val="28"/>
          <w:lang w:val="fr-FR"/>
        </w:rPr>
      </w:pPr>
    </w:p>
    <w:p w14:paraId="050A97E9" w14:textId="02726C29" w:rsidR="00307BAB" w:rsidRPr="004949C5" w:rsidRDefault="00307BAB" w:rsidP="008B1521">
      <w:pPr>
        <w:ind w:left="284" w:hanging="284"/>
        <w:jc w:val="both"/>
        <w:outlineLvl w:val="0"/>
        <w:rPr>
          <w:rFonts w:ascii="Garamond" w:hAnsi="Garamond"/>
          <w:b/>
          <w:lang w:val="fr-FR"/>
        </w:rPr>
      </w:pPr>
      <w:r w:rsidRPr="004949C5">
        <w:rPr>
          <w:rFonts w:ascii="Garamond" w:hAnsi="Garamond"/>
          <w:b/>
          <w:lang w:val="fr-FR"/>
        </w:rPr>
        <w:t>Bibliographie</w:t>
      </w:r>
    </w:p>
    <w:p w14:paraId="2320D80D" w14:textId="55098945" w:rsidR="00BF649E" w:rsidRPr="004949C5" w:rsidRDefault="00BF649E" w:rsidP="008B1521">
      <w:pPr>
        <w:ind w:left="284" w:hanging="284"/>
        <w:jc w:val="both"/>
        <w:rPr>
          <w:rFonts w:ascii="Garamond" w:hAnsi="Garamond"/>
          <w:lang w:val="fr-FR"/>
        </w:rPr>
      </w:pPr>
      <w:r w:rsidRPr="004949C5">
        <w:rPr>
          <w:rFonts w:ascii="Garamond" w:hAnsi="Garamond"/>
          <w:lang w:val="fr-FR"/>
        </w:rPr>
        <w:t xml:space="preserve">Canguilhem, Georges. 2013 [1966]. </w:t>
      </w:r>
      <w:r w:rsidRPr="004949C5">
        <w:rPr>
          <w:rFonts w:ascii="Garamond" w:hAnsi="Garamond"/>
          <w:i/>
          <w:lang w:val="fr-FR"/>
        </w:rPr>
        <w:t>Le normal et le pathologique</w:t>
      </w:r>
      <w:r w:rsidRPr="004949C5">
        <w:rPr>
          <w:rFonts w:ascii="Garamond" w:hAnsi="Garamond"/>
          <w:lang w:val="fr-FR"/>
        </w:rPr>
        <w:t xml:space="preserve"> 1966. Paris : PUF coll. Quadrige, 2013</w:t>
      </w:r>
      <w:r w:rsidR="0081139C">
        <w:rPr>
          <w:rFonts w:ascii="Garamond" w:hAnsi="Garamond"/>
          <w:lang w:val="fr-FR"/>
        </w:rPr>
        <w:t>.</w:t>
      </w:r>
    </w:p>
    <w:p w14:paraId="3E0D1D86" w14:textId="531FD811" w:rsidR="00BF649E" w:rsidRPr="004949C5" w:rsidRDefault="00BF649E" w:rsidP="008B1521">
      <w:pPr>
        <w:widowControl w:val="0"/>
        <w:autoSpaceDE w:val="0"/>
        <w:autoSpaceDN w:val="0"/>
        <w:adjustRightInd w:val="0"/>
        <w:ind w:left="284" w:hanging="284"/>
        <w:jc w:val="both"/>
        <w:rPr>
          <w:rFonts w:ascii="Garamond" w:hAnsi="Garamond"/>
          <w:lang w:val="fr-FR"/>
        </w:rPr>
      </w:pPr>
      <w:r w:rsidRPr="004949C5">
        <w:rPr>
          <w:rFonts w:ascii="Garamond" w:hAnsi="Garamond"/>
          <w:lang w:val="fr-FR"/>
        </w:rPr>
        <w:t xml:space="preserve">Eco, Umberto. 1999. </w:t>
      </w:r>
      <w:r w:rsidRPr="004949C5">
        <w:rPr>
          <w:rFonts w:ascii="Garamond" w:hAnsi="Garamond"/>
          <w:i/>
          <w:lang w:val="fr-FR"/>
        </w:rPr>
        <w:t>Kant et l'ornithorynque</w:t>
      </w:r>
      <w:r w:rsidRPr="004949C5">
        <w:rPr>
          <w:rFonts w:ascii="Garamond" w:hAnsi="Garamond"/>
          <w:lang w:val="fr-FR"/>
        </w:rPr>
        <w:t>. Trad. Julien Gayrard. Paris : Grasset.</w:t>
      </w:r>
    </w:p>
    <w:p w14:paraId="18327D5E" w14:textId="38BC2F3E" w:rsidR="00BF649E" w:rsidRPr="004949C5" w:rsidRDefault="00BF649E" w:rsidP="008B1521">
      <w:pPr>
        <w:widowControl w:val="0"/>
        <w:autoSpaceDE w:val="0"/>
        <w:autoSpaceDN w:val="0"/>
        <w:adjustRightInd w:val="0"/>
        <w:ind w:left="284" w:hanging="284"/>
        <w:jc w:val="both"/>
        <w:rPr>
          <w:rFonts w:ascii="Garamond" w:hAnsi="Garamond"/>
          <w:lang w:val="fr-FR"/>
        </w:rPr>
      </w:pPr>
      <w:r w:rsidRPr="004949C5">
        <w:rPr>
          <w:rFonts w:ascii="Garamond" w:hAnsi="Garamond"/>
          <w:lang w:val="fr-FR"/>
        </w:rPr>
        <w:t xml:space="preserve">Foucault, Michel. 1972. </w:t>
      </w:r>
      <w:r w:rsidRPr="004949C5">
        <w:rPr>
          <w:rFonts w:ascii="Garamond" w:hAnsi="Garamond"/>
          <w:i/>
          <w:lang w:val="fr-FR"/>
        </w:rPr>
        <w:t>Histoire de la folie à l’âge classique</w:t>
      </w:r>
      <w:r w:rsidRPr="004949C5">
        <w:rPr>
          <w:rFonts w:ascii="Garamond" w:hAnsi="Garamond"/>
          <w:lang w:val="fr-FR"/>
        </w:rPr>
        <w:t>. Paris : Gallimard.</w:t>
      </w:r>
    </w:p>
    <w:p w14:paraId="640030E6" w14:textId="1D4806BB" w:rsidR="00BF649E" w:rsidRPr="004949C5" w:rsidRDefault="00BF649E" w:rsidP="008B1521">
      <w:pPr>
        <w:widowControl w:val="0"/>
        <w:autoSpaceDE w:val="0"/>
        <w:autoSpaceDN w:val="0"/>
        <w:adjustRightInd w:val="0"/>
        <w:ind w:left="284" w:hanging="284"/>
        <w:jc w:val="both"/>
        <w:rPr>
          <w:rFonts w:ascii="Garamond" w:hAnsi="Garamond"/>
          <w:lang w:val="fr-FR"/>
        </w:rPr>
      </w:pPr>
      <w:r w:rsidRPr="004949C5">
        <w:rPr>
          <w:rFonts w:ascii="Garamond" w:hAnsi="Garamond"/>
          <w:lang w:val="fr-FR"/>
        </w:rPr>
        <w:t xml:space="preserve">Gardes Tamine, Joëlle. 2010. </w:t>
      </w:r>
      <w:r w:rsidRPr="004949C5">
        <w:rPr>
          <w:rFonts w:ascii="Garamond" w:hAnsi="Garamond"/>
          <w:i/>
          <w:lang w:val="fr-FR"/>
        </w:rPr>
        <w:t>La Stylistique</w:t>
      </w:r>
      <w:r w:rsidRPr="004949C5">
        <w:rPr>
          <w:rFonts w:ascii="Garamond" w:hAnsi="Garamond"/>
          <w:lang w:val="fr-FR"/>
        </w:rPr>
        <w:t>. Paris : Armand Colin, 3</w:t>
      </w:r>
      <w:r w:rsidRPr="004949C5">
        <w:rPr>
          <w:rFonts w:ascii="Garamond" w:hAnsi="Garamond"/>
          <w:vertAlign w:val="superscript"/>
          <w:lang w:val="fr-FR"/>
        </w:rPr>
        <w:t>e</w:t>
      </w:r>
      <w:r w:rsidRPr="004949C5">
        <w:rPr>
          <w:rFonts w:ascii="Garamond" w:hAnsi="Garamond"/>
          <w:lang w:val="fr-FR"/>
        </w:rPr>
        <w:t xml:space="preserve"> ed. </w:t>
      </w:r>
    </w:p>
    <w:p w14:paraId="7660D8C5" w14:textId="5870206B" w:rsidR="00BF649E" w:rsidRPr="0005233E" w:rsidRDefault="00BF649E" w:rsidP="008B1521">
      <w:pPr>
        <w:widowControl w:val="0"/>
        <w:autoSpaceDE w:val="0"/>
        <w:autoSpaceDN w:val="0"/>
        <w:adjustRightInd w:val="0"/>
        <w:ind w:left="284" w:hanging="284"/>
        <w:jc w:val="both"/>
        <w:rPr>
          <w:rFonts w:ascii="Garamond" w:hAnsi="Garamond"/>
          <w:lang w:val="en-US"/>
        </w:rPr>
      </w:pPr>
      <w:r w:rsidRPr="0005233E">
        <w:rPr>
          <w:rFonts w:ascii="Garamond" w:hAnsi="Garamond"/>
          <w:lang w:val="en-US"/>
        </w:rPr>
        <w:t xml:space="preserve">Hayles, N. Katherine. 1990. </w:t>
      </w:r>
      <w:r w:rsidRPr="0005233E">
        <w:rPr>
          <w:rFonts w:ascii="Garamond" w:hAnsi="Garamond"/>
          <w:i/>
          <w:lang w:val="en-US"/>
        </w:rPr>
        <w:t>Chaos Bound. Orderly Disorder in Contemporary Literature and Science</w:t>
      </w:r>
      <w:r w:rsidRPr="0005233E">
        <w:rPr>
          <w:rFonts w:ascii="Garamond" w:hAnsi="Garamond"/>
          <w:lang w:val="en-US"/>
        </w:rPr>
        <w:t>. Ithaca &amp; Londres: Cornell University Press.</w:t>
      </w:r>
    </w:p>
    <w:p w14:paraId="1A3F2D2E" w14:textId="13491B54" w:rsidR="00BF649E" w:rsidRPr="0005233E" w:rsidRDefault="00BF649E" w:rsidP="008B1521">
      <w:pPr>
        <w:pStyle w:val="Default"/>
        <w:ind w:left="284" w:hanging="284"/>
        <w:jc w:val="both"/>
        <w:rPr>
          <w:rFonts w:ascii="Garamond" w:hAnsi="Garamond"/>
          <w:color w:val="auto"/>
          <w:lang w:val="en-US"/>
        </w:rPr>
      </w:pPr>
      <w:r w:rsidRPr="0005233E">
        <w:rPr>
          <w:rFonts w:ascii="Garamond" w:hAnsi="Garamond"/>
          <w:color w:val="auto"/>
          <w:lang w:val="en-US"/>
        </w:rPr>
        <w:t xml:space="preserve">Hussain, Nasser. 2007. « Beyond Norm and Exception : Guantánamo ». </w:t>
      </w:r>
      <w:r w:rsidRPr="0005233E">
        <w:rPr>
          <w:rFonts w:ascii="Garamond" w:hAnsi="Garamond"/>
          <w:i/>
          <w:color w:val="auto"/>
          <w:lang w:val="en-US"/>
        </w:rPr>
        <w:t>Critical Inquiry</w:t>
      </w:r>
      <w:r w:rsidRPr="0005233E">
        <w:rPr>
          <w:rFonts w:ascii="Garamond" w:hAnsi="Garamond"/>
          <w:color w:val="auto"/>
          <w:lang w:val="en-US"/>
        </w:rPr>
        <w:t>, Vol. 33, No. 4: 734-753.</w:t>
      </w:r>
    </w:p>
    <w:p w14:paraId="120B89B3" w14:textId="0B741B24" w:rsidR="00BF649E" w:rsidRPr="0005233E" w:rsidRDefault="00BF649E" w:rsidP="008B1521">
      <w:pPr>
        <w:ind w:left="284" w:hanging="284"/>
        <w:jc w:val="both"/>
        <w:rPr>
          <w:rFonts w:ascii="Garamond" w:eastAsia="Times New Roman" w:hAnsi="Garamond"/>
          <w:lang w:val="en-US"/>
        </w:rPr>
      </w:pPr>
      <w:r w:rsidRPr="0005233E">
        <w:rPr>
          <w:rFonts w:ascii="Garamond" w:eastAsia="Times New Roman" w:hAnsi="Garamond"/>
          <w:lang w:val="en-US"/>
        </w:rPr>
        <w:t>Lipset, Seymour M. 1963. </w:t>
      </w:r>
      <w:r w:rsidRPr="0005233E">
        <w:rPr>
          <w:rFonts w:ascii="Garamond" w:eastAsia="Times New Roman" w:hAnsi="Garamond"/>
          <w:i/>
          <w:iCs/>
          <w:lang w:val="en-US"/>
        </w:rPr>
        <w:t>The First New Nation. The United States in Historical and Comparative Perspective</w:t>
      </w:r>
      <w:r w:rsidRPr="0005233E">
        <w:rPr>
          <w:rFonts w:ascii="Garamond" w:eastAsia="Times New Roman" w:hAnsi="Garamond"/>
          <w:lang w:val="en-US"/>
        </w:rPr>
        <w:t>. New York: Basic Books.</w:t>
      </w:r>
    </w:p>
    <w:p w14:paraId="5FAE53AB" w14:textId="4BB8CBED" w:rsidR="00BF649E" w:rsidRPr="004949C5" w:rsidRDefault="00BF649E" w:rsidP="008B1521">
      <w:pPr>
        <w:ind w:left="284" w:hanging="284"/>
        <w:jc w:val="both"/>
        <w:rPr>
          <w:rFonts w:ascii="Garamond" w:eastAsia="Times New Roman" w:hAnsi="Garamond"/>
          <w:lang w:val="fr-FR"/>
        </w:rPr>
      </w:pPr>
      <w:r w:rsidRPr="0005233E">
        <w:rPr>
          <w:rFonts w:ascii="Garamond" w:eastAsia="Times New Roman" w:hAnsi="Garamond"/>
          <w:lang w:val="en-US"/>
        </w:rPr>
        <w:t>Lipset, Seymour M. &amp; Gary W. Marks. 2000. </w:t>
      </w:r>
      <w:r w:rsidRPr="0005233E">
        <w:rPr>
          <w:rFonts w:ascii="Garamond" w:eastAsia="Times New Roman" w:hAnsi="Garamond"/>
          <w:i/>
          <w:iCs/>
          <w:lang w:val="en-US"/>
        </w:rPr>
        <w:t>It Didn’t Happen Here. Why Socialism Failed in the United States</w:t>
      </w:r>
      <w:r w:rsidRPr="0005233E">
        <w:rPr>
          <w:rFonts w:ascii="Garamond" w:eastAsia="Times New Roman" w:hAnsi="Garamond"/>
          <w:lang w:val="en-US"/>
        </w:rPr>
        <w:t xml:space="preserve">. </w:t>
      </w:r>
      <w:r w:rsidRPr="004949C5">
        <w:rPr>
          <w:rFonts w:ascii="Garamond" w:eastAsia="Times New Roman" w:hAnsi="Garamond"/>
          <w:lang w:val="fr-FR"/>
        </w:rPr>
        <w:t>New York: W. W. Norton &amp; Co.</w:t>
      </w:r>
    </w:p>
    <w:p w14:paraId="445C721E" w14:textId="77777777" w:rsidR="00C717B6" w:rsidRPr="00C717B6" w:rsidRDefault="00C717B6" w:rsidP="008B1521">
      <w:pPr>
        <w:pStyle w:val="Default"/>
        <w:jc w:val="both"/>
        <w:rPr>
          <w:rFonts w:ascii="Garamond" w:hAnsi="Garamond"/>
          <w:b/>
        </w:rPr>
      </w:pPr>
      <w:r w:rsidRPr="00C717B6">
        <w:rPr>
          <w:rFonts w:ascii="Garamond" w:hAnsi="Garamond"/>
        </w:rPr>
        <w:t xml:space="preserve">Meschonnic, Henri. 1973. </w:t>
      </w:r>
      <w:r w:rsidRPr="00C717B6">
        <w:rPr>
          <w:rFonts w:ascii="Garamond" w:hAnsi="Garamond"/>
          <w:i/>
          <w:iCs/>
        </w:rPr>
        <w:t>Pour La poétique II</w:t>
      </w:r>
      <w:r w:rsidRPr="00C717B6">
        <w:rPr>
          <w:rFonts w:ascii="Garamond" w:hAnsi="Garamond"/>
        </w:rPr>
        <w:t xml:space="preserve">. Paris : Gallimard. </w:t>
      </w:r>
    </w:p>
    <w:p w14:paraId="28815003" w14:textId="2992C0B7" w:rsidR="00BF649E" w:rsidRPr="004949C5" w:rsidRDefault="00BF649E" w:rsidP="008B1521">
      <w:pPr>
        <w:jc w:val="both"/>
        <w:rPr>
          <w:rFonts w:ascii="Garamond" w:hAnsi="Garamond"/>
          <w:lang w:val="fr-FR"/>
        </w:rPr>
      </w:pPr>
      <w:r w:rsidRPr="004949C5">
        <w:rPr>
          <w:rFonts w:ascii="Garamond" w:hAnsi="Garamond"/>
          <w:lang w:val="fr-FR"/>
        </w:rPr>
        <w:lastRenderedPageBreak/>
        <w:t xml:space="preserve">Prieto, Luis J. 1975. </w:t>
      </w:r>
      <w:r w:rsidRPr="004949C5">
        <w:rPr>
          <w:rFonts w:ascii="Garamond" w:hAnsi="Garamond"/>
          <w:i/>
          <w:lang w:val="fr-FR"/>
        </w:rPr>
        <w:t>Pertinence et pratique. Essai de sémiologie</w:t>
      </w:r>
      <w:r w:rsidRPr="004949C5">
        <w:rPr>
          <w:rFonts w:ascii="Garamond" w:hAnsi="Garamond"/>
          <w:lang w:val="fr-FR"/>
        </w:rPr>
        <w:t>. Paris : Editions de Minuit.</w:t>
      </w:r>
    </w:p>
    <w:p w14:paraId="43E37B30" w14:textId="3BB14153" w:rsidR="00086602" w:rsidRPr="0005233E" w:rsidRDefault="00086602" w:rsidP="008B1521">
      <w:pPr>
        <w:jc w:val="both"/>
        <w:rPr>
          <w:rFonts w:ascii="Garamond" w:eastAsia="Times New Roman" w:hAnsi="Garamond"/>
          <w:lang w:val="en-US"/>
        </w:rPr>
      </w:pPr>
      <w:r w:rsidRPr="004949C5">
        <w:rPr>
          <w:rFonts w:ascii="Garamond" w:eastAsia="Times New Roman" w:hAnsi="Garamond"/>
          <w:lang w:val="fr-FR"/>
        </w:rPr>
        <w:t xml:space="preserve">Macé, Marielle. 2016. </w:t>
      </w:r>
      <w:r w:rsidRPr="004949C5">
        <w:rPr>
          <w:rFonts w:ascii="Garamond" w:eastAsia="Times New Roman" w:hAnsi="Garamond"/>
          <w:i/>
          <w:lang w:val="fr-FR"/>
        </w:rPr>
        <w:t>Styles. Critique de nos formes de vie</w:t>
      </w:r>
      <w:r w:rsidRPr="004949C5">
        <w:rPr>
          <w:rFonts w:ascii="Garamond" w:eastAsia="Times New Roman" w:hAnsi="Garamond"/>
          <w:lang w:val="fr-FR"/>
        </w:rPr>
        <w:t xml:space="preserve">. </w:t>
      </w:r>
      <w:r w:rsidRPr="0005233E">
        <w:rPr>
          <w:rFonts w:ascii="Garamond" w:eastAsia="Times New Roman" w:hAnsi="Garamond"/>
          <w:lang w:val="en-US"/>
        </w:rPr>
        <w:t>Paris: Gallimard.</w:t>
      </w:r>
    </w:p>
    <w:p w14:paraId="5811F67E" w14:textId="24B87FBF" w:rsidR="00E1191E" w:rsidRPr="0081139C" w:rsidRDefault="0081139C" w:rsidP="008B1521">
      <w:pPr>
        <w:pStyle w:val="Default"/>
        <w:ind w:left="284" w:hanging="284"/>
        <w:jc w:val="both"/>
        <w:rPr>
          <w:rFonts w:ascii="Garamond" w:hAnsi="Garamond" w:cs="M+ 2p regular"/>
          <w:lang w:val="en-US"/>
        </w:rPr>
      </w:pPr>
      <w:r>
        <w:rPr>
          <w:rFonts w:ascii="Garamond" w:hAnsi="Garamond"/>
          <w:lang w:val="en-US"/>
        </w:rPr>
        <w:t>Thomson, Alex. Quoted in S. Hames</w:t>
      </w:r>
      <w:r w:rsidR="0005233E" w:rsidRPr="0005233E">
        <w:rPr>
          <w:rFonts w:ascii="Garamond" w:hAnsi="Garamond"/>
          <w:lang w:val="en-US"/>
        </w:rPr>
        <w:t>. 2017</w:t>
      </w:r>
      <w:r w:rsidRPr="0081139C">
        <w:rPr>
          <w:rFonts w:ascii="Garamond" w:hAnsi="Garamond"/>
          <w:lang w:val="en-US"/>
        </w:rPr>
        <w:t>.</w:t>
      </w:r>
      <w:r>
        <w:rPr>
          <w:rFonts w:ascii="Garamond" w:hAnsi="Garamond"/>
          <w:b/>
          <w:lang w:val="en-US"/>
        </w:rPr>
        <w:t xml:space="preserve"> </w:t>
      </w:r>
      <w:r>
        <w:rPr>
          <w:rFonts w:ascii="Garamond" w:hAnsi="Garamond" w:cs="M+ 2p regular"/>
          <w:lang w:val="en-US"/>
        </w:rPr>
        <w:t>“</w:t>
      </w:r>
      <w:r w:rsidR="0005233E" w:rsidRPr="0005233E">
        <w:rPr>
          <w:rFonts w:ascii="Garamond" w:hAnsi="Garamond" w:cs="M+ 2p regular"/>
          <w:lang w:val="en-US"/>
        </w:rPr>
        <w:t>Narrating Devolution: Politics and/as Scottish Fiction</w:t>
      </w:r>
      <w:r>
        <w:rPr>
          <w:rFonts w:ascii="Garamond" w:hAnsi="Garamond" w:cs="M+ 2p regular"/>
          <w:lang w:val="en-US"/>
        </w:rPr>
        <w:t>”.</w:t>
      </w:r>
      <w:r w:rsidR="0005233E" w:rsidRPr="0005233E">
        <w:rPr>
          <w:rFonts w:ascii="Garamond" w:hAnsi="Garamond" w:cs="M+ 2p regular"/>
          <w:lang w:val="en-US"/>
        </w:rPr>
        <w:t xml:space="preserve"> </w:t>
      </w:r>
      <w:r>
        <w:rPr>
          <w:rFonts w:ascii="Garamond" w:hAnsi="Garamond" w:cs="M+ 2p regular"/>
          <w:i/>
          <w:lang w:val="en-US"/>
        </w:rPr>
        <w:t xml:space="preserve">C21. </w:t>
      </w:r>
      <w:r w:rsidR="0005233E" w:rsidRPr="0081139C">
        <w:rPr>
          <w:rFonts w:ascii="Garamond" w:hAnsi="Garamond" w:cs="M+ 2p regular"/>
          <w:i/>
          <w:lang w:val="en-US"/>
        </w:rPr>
        <w:t>Literature: Journal of 21st-century Writings</w:t>
      </w:r>
      <w:r>
        <w:rPr>
          <w:rFonts w:ascii="Garamond" w:hAnsi="Garamond" w:cs="M+ 2p regular"/>
          <w:lang w:val="en-US"/>
        </w:rPr>
        <w:t>, 5(2): 1–25.</w:t>
      </w:r>
      <w:r w:rsidR="0005233E" w:rsidRPr="0005233E">
        <w:rPr>
          <w:rFonts w:ascii="Garamond" w:hAnsi="Garamond" w:cs="M+ 2p regular"/>
          <w:lang w:val="en-US"/>
        </w:rPr>
        <w:t xml:space="preserve"> DOI: </w:t>
      </w:r>
      <w:hyperlink r:id="rId6" w:history="1">
        <w:r w:rsidR="0005233E" w:rsidRPr="001461DE">
          <w:rPr>
            <w:rStyle w:val="Lienhypertexte"/>
            <w:rFonts w:ascii="Garamond" w:hAnsi="Garamond" w:cs="M+ 2p regular"/>
            <w:lang w:val="en-US"/>
          </w:rPr>
          <w:t>https://doi.org/10.16995/c21.20</w:t>
        </w:r>
      </w:hyperlink>
    </w:p>
    <w:sectPr w:rsidR="00E1191E" w:rsidRPr="0081139C" w:rsidSect="007F34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de">
    <w:altName w:val="Code"/>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 2p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777E6"/>
    <w:multiLevelType w:val="hybridMultilevel"/>
    <w:tmpl w:val="407C484C"/>
    <w:lvl w:ilvl="0" w:tplc="DDBCF8B0">
      <w:start w:val="16"/>
      <w:numFmt w:val="bullet"/>
      <w:lvlText w:val="-"/>
      <w:lvlJc w:val="left"/>
      <w:pPr>
        <w:ind w:left="720" w:hanging="360"/>
      </w:pPr>
      <w:rPr>
        <w:rFonts w:ascii="Garamond" w:eastAsia="MS Mincho"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C3"/>
    <w:rsid w:val="00016405"/>
    <w:rsid w:val="00017632"/>
    <w:rsid w:val="0005233E"/>
    <w:rsid w:val="00057C0B"/>
    <w:rsid w:val="00062DCB"/>
    <w:rsid w:val="0008220A"/>
    <w:rsid w:val="00086602"/>
    <w:rsid w:val="00100897"/>
    <w:rsid w:val="00115FFC"/>
    <w:rsid w:val="00127787"/>
    <w:rsid w:val="001943BA"/>
    <w:rsid w:val="001F106A"/>
    <w:rsid w:val="0022456C"/>
    <w:rsid w:val="00233AEA"/>
    <w:rsid w:val="00291D5F"/>
    <w:rsid w:val="002C7D5B"/>
    <w:rsid w:val="002E0E62"/>
    <w:rsid w:val="00307BAB"/>
    <w:rsid w:val="00310548"/>
    <w:rsid w:val="003722B8"/>
    <w:rsid w:val="003B2FFD"/>
    <w:rsid w:val="003D5EBD"/>
    <w:rsid w:val="00427E90"/>
    <w:rsid w:val="004617A8"/>
    <w:rsid w:val="004769B2"/>
    <w:rsid w:val="004949C5"/>
    <w:rsid w:val="004E73CD"/>
    <w:rsid w:val="005A0D74"/>
    <w:rsid w:val="006523F8"/>
    <w:rsid w:val="00735D33"/>
    <w:rsid w:val="00750743"/>
    <w:rsid w:val="007579B6"/>
    <w:rsid w:val="0076368B"/>
    <w:rsid w:val="007767A7"/>
    <w:rsid w:val="007B775C"/>
    <w:rsid w:val="007C639B"/>
    <w:rsid w:val="007D2726"/>
    <w:rsid w:val="007F3444"/>
    <w:rsid w:val="0081139C"/>
    <w:rsid w:val="00831AFE"/>
    <w:rsid w:val="00841D4C"/>
    <w:rsid w:val="008B1521"/>
    <w:rsid w:val="009006B4"/>
    <w:rsid w:val="009039F1"/>
    <w:rsid w:val="009276B2"/>
    <w:rsid w:val="009952BF"/>
    <w:rsid w:val="009F7DBC"/>
    <w:rsid w:val="00A01F89"/>
    <w:rsid w:val="00A0253A"/>
    <w:rsid w:val="00A74DEE"/>
    <w:rsid w:val="00A915DC"/>
    <w:rsid w:val="00AE796A"/>
    <w:rsid w:val="00B013D6"/>
    <w:rsid w:val="00B07710"/>
    <w:rsid w:val="00B76B9E"/>
    <w:rsid w:val="00BC325C"/>
    <w:rsid w:val="00BF649E"/>
    <w:rsid w:val="00C717B6"/>
    <w:rsid w:val="00C91F22"/>
    <w:rsid w:val="00D066C3"/>
    <w:rsid w:val="00D534BB"/>
    <w:rsid w:val="00D82CB9"/>
    <w:rsid w:val="00DC094D"/>
    <w:rsid w:val="00DC78F8"/>
    <w:rsid w:val="00DD7092"/>
    <w:rsid w:val="00DE5C22"/>
    <w:rsid w:val="00E1190F"/>
    <w:rsid w:val="00E1191E"/>
    <w:rsid w:val="00E712B6"/>
    <w:rsid w:val="00E858AD"/>
    <w:rsid w:val="00E965E2"/>
    <w:rsid w:val="00EE4B34"/>
    <w:rsid w:val="00EF3DA8"/>
    <w:rsid w:val="00F04309"/>
    <w:rsid w:val="00F65F4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97003"/>
  <w14:defaultImageDpi w14:val="300"/>
  <w15:docId w15:val="{088E07CD-6FC2-9343-9AB5-773527F7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33E"/>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
    <w:name w:val="Emphasis"/>
    <w:basedOn w:val="Policepardfaut"/>
    <w:uiPriority w:val="20"/>
    <w:qFormat/>
    <w:rsid w:val="00841D4C"/>
    <w:rPr>
      <w:i/>
      <w:iCs/>
    </w:rPr>
  </w:style>
  <w:style w:type="character" w:styleId="Marquedecommentaire">
    <w:name w:val="annotation reference"/>
    <w:basedOn w:val="Policepardfaut"/>
    <w:uiPriority w:val="99"/>
    <w:semiHidden/>
    <w:unhideWhenUsed/>
    <w:rsid w:val="009006B4"/>
    <w:rPr>
      <w:sz w:val="18"/>
      <w:szCs w:val="18"/>
    </w:rPr>
  </w:style>
  <w:style w:type="paragraph" w:styleId="Commentaire">
    <w:name w:val="annotation text"/>
    <w:basedOn w:val="Normal"/>
    <w:link w:val="CommentaireCar"/>
    <w:uiPriority w:val="99"/>
    <w:semiHidden/>
    <w:unhideWhenUsed/>
    <w:rsid w:val="009006B4"/>
  </w:style>
  <w:style w:type="character" w:customStyle="1" w:styleId="CommentaireCar">
    <w:name w:val="Commentaire Car"/>
    <w:basedOn w:val="Policepardfaut"/>
    <w:link w:val="Commentaire"/>
    <w:uiPriority w:val="99"/>
    <w:semiHidden/>
    <w:rsid w:val="009006B4"/>
    <w:rPr>
      <w:sz w:val="24"/>
      <w:szCs w:val="24"/>
      <w:lang w:val="en-GB"/>
    </w:rPr>
  </w:style>
  <w:style w:type="paragraph" w:styleId="Objetducommentaire">
    <w:name w:val="annotation subject"/>
    <w:basedOn w:val="Commentaire"/>
    <w:next w:val="Commentaire"/>
    <w:link w:val="ObjetducommentaireCar"/>
    <w:uiPriority w:val="99"/>
    <w:semiHidden/>
    <w:unhideWhenUsed/>
    <w:rsid w:val="009006B4"/>
    <w:rPr>
      <w:b/>
      <w:bCs/>
      <w:sz w:val="20"/>
      <w:szCs w:val="20"/>
    </w:rPr>
  </w:style>
  <w:style w:type="character" w:customStyle="1" w:styleId="ObjetducommentaireCar">
    <w:name w:val="Objet du commentaire Car"/>
    <w:basedOn w:val="CommentaireCar"/>
    <w:link w:val="Objetducommentaire"/>
    <w:uiPriority w:val="99"/>
    <w:semiHidden/>
    <w:rsid w:val="009006B4"/>
    <w:rPr>
      <w:b/>
      <w:bCs/>
      <w:sz w:val="24"/>
      <w:szCs w:val="24"/>
      <w:lang w:val="en-GB"/>
    </w:rPr>
  </w:style>
  <w:style w:type="paragraph" w:styleId="Textedebulles">
    <w:name w:val="Balloon Text"/>
    <w:basedOn w:val="Normal"/>
    <w:link w:val="TextedebullesCar"/>
    <w:uiPriority w:val="99"/>
    <w:semiHidden/>
    <w:unhideWhenUsed/>
    <w:rsid w:val="009006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06B4"/>
    <w:rPr>
      <w:rFonts w:ascii="Lucida Grande" w:hAnsi="Lucida Grande" w:cs="Lucida Grande"/>
      <w:sz w:val="18"/>
      <w:szCs w:val="18"/>
      <w:lang w:val="en-GB"/>
    </w:rPr>
  </w:style>
  <w:style w:type="character" w:customStyle="1" w:styleId="apple-converted-space">
    <w:name w:val="apple-converted-space"/>
    <w:basedOn w:val="Policepardfaut"/>
    <w:rsid w:val="00BF649E"/>
  </w:style>
  <w:style w:type="paragraph" w:customStyle="1" w:styleId="Default">
    <w:name w:val="Default"/>
    <w:rsid w:val="00BF649E"/>
    <w:pPr>
      <w:widowControl w:val="0"/>
      <w:autoSpaceDE w:val="0"/>
      <w:autoSpaceDN w:val="0"/>
      <w:adjustRightInd w:val="0"/>
    </w:pPr>
    <w:rPr>
      <w:rFonts w:ascii="Code" w:hAnsi="Code" w:cs="Code"/>
      <w:color w:val="000000"/>
      <w:sz w:val="24"/>
      <w:szCs w:val="24"/>
    </w:rPr>
  </w:style>
  <w:style w:type="character" w:styleId="Lienhypertexte">
    <w:name w:val="Hyperlink"/>
    <w:basedOn w:val="Policepardfaut"/>
    <w:uiPriority w:val="99"/>
    <w:unhideWhenUsed/>
    <w:rsid w:val="0005233E"/>
    <w:rPr>
      <w:color w:val="0000FF" w:themeColor="hyperlink"/>
      <w:u w:val="single"/>
    </w:rPr>
  </w:style>
  <w:style w:type="character" w:customStyle="1" w:styleId="Mentionnonrsolue1">
    <w:name w:val="Mention non résolue1"/>
    <w:basedOn w:val="Policepardfaut"/>
    <w:uiPriority w:val="99"/>
    <w:semiHidden/>
    <w:unhideWhenUsed/>
    <w:rsid w:val="0005233E"/>
    <w:rPr>
      <w:color w:val="808080"/>
      <w:shd w:val="clear" w:color="auto" w:fill="E6E6E6"/>
    </w:rPr>
  </w:style>
  <w:style w:type="paragraph" w:styleId="Explorateurdedocuments">
    <w:name w:val="Document Map"/>
    <w:basedOn w:val="Normal"/>
    <w:link w:val="ExplorateurdedocumentsCar"/>
    <w:uiPriority w:val="99"/>
    <w:semiHidden/>
    <w:unhideWhenUsed/>
    <w:rsid w:val="0081139C"/>
    <w:rPr>
      <w:rFonts w:ascii="Times New Roman" w:hAnsi="Times New Roman"/>
    </w:rPr>
  </w:style>
  <w:style w:type="character" w:customStyle="1" w:styleId="ExplorateurdedocumentsCar">
    <w:name w:val="Explorateur de documents Car"/>
    <w:basedOn w:val="Policepardfaut"/>
    <w:link w:val="Explorateurdedocuments"/>
    <w:uiPriority w:val="99"/>
    <w:semiHidden/>
    <w:rsid w:val="0081139C"/>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6547">
      <w:bodyDiv w:val="1"/>
      <w:marLeft w:val="0"/>
      <w:marRight w:val="0"/>
      <w:marTop w:val="0"/>
      <w:marBottom w:val="0"/>
      <w:divBdr>
        <w:top w:val="none" w:sz="0" w:space="0" w:color="auto"/>
        <w:left w:val="none" w:sz="0" w:space="0" w:color="auto"/>
        <w:bottom w:val="none" w:sz="0" w:space="0" w:color="auto"/>
        <w:right w:val="none" w:sz="0" w:space="0" w:color="auto"/>
      </w:divBdr>
    </w:div>
    <w:div w:id="1263804493">
      <w:bodyDiv w:val="1"/>
      <w:marLeft w:val="0"/>
      <w:marRight w:val="0"/>
      <w:marTop w:val="0"/>
      <w:marBottom w:val="0"/>
      <w:divBdr>
        <w:top w:val="none" w:sz="0" w:space="0" w:color="auto"/>
        <w:left w:val="none" w:sz="0" w:space="0" w:color="auto"/>
        <w:bottom w:val="none" w:sz="0" w:space="0" w:color="auto"/>
        <w:right w:val="none" w:sz="0" w:space="0" w:color="auto"/>
      </w:divBdr>
      <w:divsChild>
        <w:div w:id="1600602745">
          <w:marLeft w:val="0"/>
          <w:marRight w:val="0"/>
          <w:marTop w:val="0"/>
          <w:marBottom w:val="0"/>
          <w:divBdr>
            <w:top w:val="none" w:sz="0" w:space="0" w:color="auto"/>
            <w:left w:val="none" w:sz="0" w:space="0" w:color="auto"/>
            <w:bottom w:val="none" w:sz="0" w:space="0" w:color="auto"/>
            <w:right w:val="none" w:sz="0" w:space="0" w:color="auto"/>
          </w:divBdr>
        </w:div>
        <w:div w:id="937638126">
          <w:marLeft w:val="0"/>
          <w:marRight w:val="0"/>
          <w:marTop w:val="0"/>
          <w:marBottom w:val="0"/>
          <w:divBdr>
            <w:top w:val="none" w:sz="0" w:space="0" w:color="auto"/>
            <w:left w:val="none" w:sz="0" w:space="0" w:color="auto"/>
            <w:bottom w:val="none" w:sz="0" w:space="0" w:color="auto"/>
            <w:right w:val="none" w:sz="0" w:space="0" w:color="auto"/>
          </w:divBdr>
        </w:div>
        <w:div w:id="347485406">
          <w:marLeft w:val="0"/>
          <w:marRight w:val="0"/>
          <w:marTop w:val="0"/>
          <w:marBottom w:val="0"/>
          <w:divBdr>
            <w:top w:val="none" w:sz="0" w:space="0" w:color="auto"/>
            <w:left w:val="none" w:sz="0" w:space="0" w:color="auto"/>
            <w:bottom w:val="none" w:sz="0" w:space="0" w:color="auto"/>
            <w:right w:val="none" w:sz="0" w:space="0" w:color="auto"/>
          </w:divBdr>
        </w:div>
      </w:divsChild>
    </w:div>
    <w:div w:id="2080863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6995/c21.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ECDB7-8C91-8648-819A-A3C08CFE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1614</Words>
  <Characters>8880</Characters>
  <Application>Microsoft Macintosh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Correcteur 1 Correcteur1</dc:creator>
  <cp:keywords/>
  <dc:description/>
  <cp:lastModifiedBy>Auteur</cp:lastModifiedBy>
  <cp:revision>5</cp:revision>
  <cp:lastPrinted>2018-02-19T14:51:00Z</cp:lastPrinted>
  <dcterms:created xsi:type="dcterms:W3CDTF">2018-02-28T18:20:00Z</dcterms:created>
  <dcterms:modified xsi:type="dcterms:W3CDTF">2018-03-18T18:00:00Z</dcterms:modified>
</cp:coreProperties>
</file>